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5.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63EAB5">
      <w:pPr>
        <w:widowControl/>
        <w:jc w:val="left"/>
      </w:pPr>
      <w:r>
        <w:drawing>
          <wp:anchor distT="0" distB="0" distL="114300" distR="114300" simplePos="0" relativeHeight="251664384"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9"/>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0"/>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3360"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1"/>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1312;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mc:AlternateContent>
          <mc:Choice Requires="wpg">
            <w:drawing>
              <wp:anchor distT="0" distB="0" distL="114300" distR="114300" simplePos="0" relativeHeight="251660288"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28643435">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2BF96478">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0288;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8643435">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BF96478">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2336"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31047D38">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59264;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31047D38">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14:paraId="660459F5">
      <w:pPr>
        <w:widowControl/>
        <w:jc w:val="left"/>
      </w:pPr>
    </w:p>
    <w:p w14:paraId="42FC8026">
      <w:pPr>
        <w:widowControl/>
        <w:jc w:val="left"/>
      </w:pPr>
    </w:p>
    <w:p w14:paraId="59E50AE1">
      <w:pPr>
        <w:widowControl/>
        <w:jc w:val="left"/>
      </w:pPr>
    </w:p>
    <w:p w14:paraId="3F61198E">
      <w:pPr>
        <w:widowControl/>
        <w:jc w:val="left"/>
        <w:rPr>
          <w:rFonts w:hint="eastAsia" w:eastAsiaTheme="minorEastAsia"/>
          <w:lang w:val="en-US" w:eastAsia="zh-CN"/>
        </w:rPr>
      </w:pPr>
      <w:r>
        <w:rPr>
          <w:rFonts w:hint="eastAsia"/>
          <w:lang w:val="en-US" w:eastAsia="zh-CN"/>
        </w:rPr>
        <w:t xml:space="preserve"> </w:t>
      </w:r>
    </w:p>
    <w:p w14:paraId="4E89CC39">
      <w:pPr>
        <w:widowControl/>
        <w:jc w:val="left"/>
      </w:pPr>
    </w:p>
    <w:p w14:paraId="1C2BCA74">
      <w:pPr>
        <w:widowControl/>
        <w:jc w:val="left"/>
      </w:pPr>
    </w:p>
    <w:p w14:paraId="39849316">
      <w:pPr>
        <w:widowControl/>
        <w:jc w:val="left"/>
      </w:pPr>
    </w:p>
    <w:p w14:paraId="2B8B52BD">
      <w:pPr>
        <w:widowControl/>
        <w:jc w:val="left"/>
      </w:pPr>
    </w:p>
    <w:p w14:paraId="301A5557">
      <w:pPr>
        <w:widowControl/>
        <w:jc w:val="left"/>
      </w:pPr>
    </w:p>
    <w:p w14:paraId="31E967F2">
      <w:pPr>
        <w:widowControl/>
        <w:jc w:val="left"/>
      </w:pPr>
    </w:p>
    <w:p w14:paraId="3108BF99">
      <w:pPr>
        <w:widowControl/>
        <w:jc w:val="left"/>
      </w:pPr>
    </w:p>
    <w:p w14:paraId="7918EA8C">
      <w:pPr>
        <w:widowControl/>
        <w:jc w:val="left"/>
      </w:pPr>
    </w:p>
    <w:p w14:paraId="3246FBDD">
      <w:pPr>
        <w:widowControl/>
        <w:jc w:val="left"/>
      </w:pPr>
    </w:p>
    <w:p w14:paraId="286FC775">
      <w:pPr>
        <w:widowControl/>
        <w:jc w:val="left"/>
      </w:pPr>
    </w:p>
    <w:p w14:paraId="1D0E0883">
      <w:pPr>
        <w:widowControl/>
        <w:jc w:val="left"/>
      </w:pPr>
    </w:p>
    <w:p w14:paraId="1CC39B1E">
      <w:pPr>
        <w:widowControl/>
        <w:jc w:val="left"/>
      </w:pPr>
    </w:p>
    <w:p w14:paraId="08B14EA8">
      <w:pPr>
        <w:widowControl/>
        <w:jc w:val="left"/>
      </w:pPr>
    </w:p>
    <w:p w14:paraId="4537F812">
      <w:pPr>
        <w:widowControl/>
        <w:jc w:val="left"/>
      </w:pPr>
    </w:p>
    <w:p w14:paraId="2062D430">
      <w:pPr>
        <w:widowControl/>
        <w:jc w:val="left"/>
      </w:pPr>
    </w:p>
    <w:p w14:paraId="1A44F4DB">
      <w:pPr>
        <w:spacing w:line="600" w:lineRule="auto"/>
        <w:jc w:val="left"/>
        <w:rPr>
          <w:rFonts w:hint="eastAsia" w:ascii="黑体" w:hAnsi="黑体" w:eastAsia="黑体" w:cs="黑体"/>
          <w:color w:val="000000"/>
          <w:sz w:val="40"/>
          <w:szCs w:val="40"/>
        </w:rPr>
      </w:pPr>
    </w:p>
    <w:p w14:paraId="057D61D0">
      <w:pPr>
        <w:spacing w:line="600" w:lineRule="auto"/>
        <w:jc w:val="left"/>
        <w:rPr>
          <w:rFonts w:hint="default"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340001</w:t>
      </w:r>
    </w:p>
    <w:p w14:paraId="66A141FD">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：平泉市人民检察院</w:t>
      </w:r>
    </w:p>
    <w:p w14:paraId="347A22E4">
      <w:pPr>
        <w:spacing w:line="600" w:lineRule="auto"/>
        <w:jc w:val="left"/>
        <w:rPr>
          <w:rFonts w:hint="default" w:ascii="楷体_GB2312" w:hAnsi="楷体_GB2312" w:eastAsia="楷体_GB2312" w:cs="楷体_GB2312"/>
          <w:color w:val="000000"/>
          <w:sz w:val="40"/>
          <w:szCs w:val="40"/>
          <w:lang w:val="en-US" w:eastAsia="zh-CN"/>
        </w:rPr>
      </w:pPr>
    </w:p>
    <w:p w14:paraId="31A165CC">
      <w:pPr>
        <w:spacing w:line="600" w:lineRule="auto"/>
        <w:jc w:val="center"/>
        <w:rPr>
          <w:rFonts w:hint="eastAsia" w:ascii="楷体_GB2312" w:hAnsi="楷体_GB2312" w:eastAsia="楷体_GB2312" w:cs="楷体_GB2312"/>
          <w:color w:val="000000"/>
          <w:sz w:val="40"/>
          <w:szCs w:val="40"/>
        </w:rPr>
      </w:pPr>
    </w:p>
    <w:p w14:paraId="6823AC38">
      <w:pPr>
        <w:spacing w:line="600" w:lineRule="auto"/>
        <w:jc w:val="center"/>
        <w:rPr>
          <w:rFonts w:hint="eastAsia" w:ascii="楷体_GB2312" w:hAnsi="楷体_GB2312" w:eastAsia="楷体_GB2312" w:cs="楷体_GB2312"/>
          <w:color w:val="000000"/>
          <w:sz w:val="40"/>
          <w:szCs w:val="40"/>
        </w:rPr>
      </w:pPr>
    </w:p>
    <w:p w14:paraId="0241B6FC">
      <w:pPr>
        <w:spacing w:line="600" w:lineRule="auto"/>
        <w:jc w:val="both"/>
        <w:rPr>
          <w:rFonts w:hint="eastAsia" w:ascii="楷体_GB2312" w:hAnsi="楷体_GB2312" w:eastAsia="楷体_GB2312" w:cs="楷体_GB2312"/>
          <w:color w:val="000000"/>
          <w:sz w:val="40"/>
          <w:szCs w:val="40"/>
        </w:rPr>
      </w:pPr>
    </w:p>
    <w:p w14:paraId="4C5EDC64">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二〇二四年八月</w:t>
      </w:r>
    </w:p>
    <w:p w14:paraId="2D766CBE">
      <w:pPr>
        <w:rPr>
          <w:rFonts w:ascii="黑体" w:hAnsi="黑体" w:eastAsia="黑体" w:cs="黑体"/>
          <w:bCs/>
          <w:sz w:val="32"/>
          <w:szCs w:val="32"/>
        </w:rPr>
      </w:pPr>
      <w:r>
        <w:rPr>
          <w:rFonts w:hint="eastAsia" w:ascii="楷体_GB2312" w:hAnsi="楷体_GB2312" w:eastAsia="楷体_GB2312" w:cs="楷体_GB2312"/>
          <w:color w:val="000000"/>
          <w:sz w:val="40"/>
          <w:szCs w:val="40"/>
        </w:rPr>
        <w:br w:type="page"/>
      </w:r>
    </w:p>
    <w:p w14:paraId="77A34A25">
      <w:pPr>
        <w:tabs>
          <w:tab w:val="left" w:pos="2728"/>
        </w:tabs>
        <w:jc w:val="both"/>
        <w:rPr>
          <w:rFonts w:ascii="黑体" w:hAnsi="Times New Roman" w:eastAsia="黑体" w:cs="Times New Roman"/>
          <w:sz w:val="48"/>
          <w:szCs w:val="48"/>
        </w:rPr>
      </w:pPr>
    </w:p>
    <w:p w14:paraId="666163C9">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0463692A">
      <w:pPr>
        <w:widowControl/>
        <w:spacing w:after="160" w:line="580" w:lineRule="exact"/>
        <w:ind w:firstLine="640" w:firstLineChars="200"/>
        <w:rPr>
          <w:rFonts w:ascii="Times New Roman" w:hAnsi="Times New Roman" w:eastAsia="黑体" w:cs="Times New Roman"/>
          <w:sz w:val="32"/>
          <w:szCs w:val="32"/>
        </w:rPr>
      </w:pPr>
    </w:p>
    <w:p w14:paraId="275B243A">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14:paraId="5D0C9086">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14:paraId="2691AF3F">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53B8AC54">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14:paraId="61A7DBBB">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0D929B85">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5160AD82">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22BF8FBD">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0B378EE2">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2676452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58DB15AA">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4C9797EB">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7B6C34C3">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5AA761C4">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14:paraId="0C8C1848">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10FA173F">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683A816E">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77E077F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59011E2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6A521075">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0D6286A9">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5E177A23">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2AA82DD1">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4427304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1A97FFE6">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06E7A2A6">
      <w:pPr>
        <w:rPr>
          <w:rFonts w:hint="default" w:ascii="Arial" w:hAnsi="Arial" w:eastAsia="Arial" w:cs="Arial"/>
          <w:i w:val="0"/>
          <w:iCs w:val="0"/>
          <w:caps w:val="0"/>
          <w:color w:val="000000"/>
          <w:spacing w:val="0"/>
          <w:sz w:val="18"/>
          <w:szCs w:val="18"/>
          <w:highlight w:val="none"/>
          <w:shd w:val="clear" w:fill="FFFFFF"/>
        </w:rPr>
      </w:pPr>
    </w:p>
    <w:p w14:paraId="78B9745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ED10DE8">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14:paraId="1043E82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0FE52B4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4A8A420D">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2005E89E">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14:paraId="6F12FAD1">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D786E57">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B4BEF98">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2ECB755">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2833522">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0BA0F78">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29FC90A">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B5B4962">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1478C91">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CAB2C70">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C578C01">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33E1C7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562C58A">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BBF565E">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14:paraId="1910A00A">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14:paraId="7FC5F005">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08363E0">
      <w:pPr>
        <w:widowControl/>
        <w:spacing w:after="160" w:line="580" w:lineRule="exact"/>
        <w:ind w:left="640"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根据《平泉市人民检察院职能配置、内设机构和人员编制规定》，平泉市人民检察院的主要职责是：</w:t>
      </w:r>
    </w:p>
    <w:p w14:paraId="44D051EE">
      <w:pPr>
        <w:widowControl/>
        <w:spacing w:after="160" w:line="580" w:lineRule="exact"/>
        <w:ind w:left="640"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部门职责：</w:t>
      </w:r>
    </w:p>
    <w:p w14:paraId="000A85D9">
      <w:pPr>
        <w:widowControl/>
        <w:spacing w:after="160" w:line="580" w:lineRule="exact"/>
        <w:ind w:left="640"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（一）深入贯彻习近平新时代中国特色社会主义思想，深入贯彻党的路线方针和决策部署，坚持党对检察工作的绝对领导，坚决维护习近平总书记的核心地位，坚决维护党中央权威和集中统一领导。</w:t>
      </w:r>
    </w:p>
    <w:p w14:paraId="117F3844">
      <w:pPr>
        <w:widowControl/>
        <w:spacing w:after="160" w:line="580" w:lineRule="exact"/>
        <w:ind w:left="640"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（二）依法向市人民代表大会及其常务委员会提出议案。</w:t>
      </w:r>
    </w:p>
    <w:p w14:paraId="6C05B642">
      <w:pPr>
        <w:widowControl/>
        <w:spacing w:after="160" w:line="580" w:lineRule="exact"/>
        <w:ind w:left="640"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（三）贯彻落实检察工作方针、总体规划、研究制定检察工作计划并组织实施。</w:t>
      </w:r>
    </w:p>
    <w:p w14:paraId="453A3FF5">
      <w:pPr>
        <w:widowControl/>
        <w:spacing w:after="160" w:line="580" w:lineRule="exact"/>
        <w:ind w:left="640"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（四）依照法律规定对直接受理的刑事案件刑事侦查权。</w:t>
      </w:r>
    </w:p>
    <w:p w14:paraId="7E9945D8">
      <w:pPr>
        <w:widowControl/>
        <w:spacing w:after="160" w:line="580" w:lineRule="exact"/>
        <w:ind w:left="640"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（五）负责对管辖的各类刑事案件依法审查批准逮捕、决定逮捕、提起公诉。</w:t>
      </w:r>
    </w:p>
    <w:p w14:paraId="78FFEFD0">
      <w:pPr>
        <w:widowControl/>
        <w:spacing w:after="160" w:line="580" w:lineRule="exact"/>
        <w:ind w:left="640"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（六）负责应由本院承办的刑事、民事、行政诉讼活动及刑事、民事、行政裁决和裁定等生效法律文书执行的法律监督工作。</w:t>
      </w:r>
    </w:p>
    <w:p w14:paraId="1EB27F73">
      <w:pPr>
        <w:widowControl/>
        <w:spacing w:after="160" w:line="580" w:lineRule="exact"/>
        <w:ind w:left="640"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（七）负责应由本院承办的提起公益诉讼工作。</w:t>
      </w:r>
    </w:p>
    <w:p w14:paraId="03747001">
      <w:pPr>
        <w:widowControl/>
        <w:spacing w:after="160" w:line="580" w:lineRule="exact"/>
        <w:ind w:left="640"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（八）依法受理核准追诉案件，审查是否上诉。</w:t>
      </w:r>
    </w:p>
    <w:p w14:paraId="1EE0919D">
      <w:pPr>
        <w:widowControl/>
        <w:spacing w:after="160" w:line="580" w:lineRule="exact"/>
        <w:ind w:left="640"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（九）负责由本院承办的对看守所、社区矫正等执行活动的法律监督工作。</w:t>
      </w:r>
    </w:p>
    <w:p w14:paraId="39F15B85">
      <w:pPr>
        <w:widowControl/>
        <w:spacing w:after="160" w:line="580" w:lineRule="exact"/>
        <w:ind w:left="640"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（十）受理向本院的控告申诉。</w:t>
      </w:r>
    </w:p>
    <w:p w14:paraId="6E97C384">
      <w:pPr>
        <w:widowControl/>
        <w:spacing w:after="160" w:line="580" w:lineRule="exact"/>
        <w:ind w:left="640"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（十一）组织检察工作中法律政策具体应用问题的研究；组织开展检察理论研究工作。</w:t>
      </w:r>
    </w:p>
    <w:p w14:paraId="3CFA86BC">
      <w:pPr>
        <w:widowControl/>
        <w:spacing w:after="160" w:line="580" w:lineRule="exact"/>
        <w:ind w:left="640"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（十二）负责检察人员思想政治教育和业务培训工作；按照权限管理检察官和其他工作人员。</w:t>
      </w:r>
    </w:p>
    <w:p w14:paraId="7F894FF0">
      <w:pPr>
        <w:widowControl/>
        <w:spacing w:after="160" w:line="580" w:lineRule="exact"/>
        <w:ind w:left="640"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（十三）负责本院检务监督工作。</w:t>
      </w:r>
    </w:p>
    <w:p w14:paraId="009EE90A">
      <w:pPr>
        <w:widowControl/>
        <w:spacing w:after="160" w:line="580" w:lineRule="exact"/>
        <w:ind w:left="640"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（十四）负责本院检务保障以及检察技术、信息化建设工作。</w:t>
      </w:r>
    </w:p>
    <w:p w14:paraId="6B21A38E">
      <w:pPr>
        <w:widowControl/>
        <w:spacing w:after="160" w:line="580" w:lineRule="exact"/>
        <w:ind w:left="640"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（十五）完成其他应当由本院负责的工作。</w:t>
      </w:r>
    </w:p>
    <w:p w14:paraId="14CEF81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0"/>
      </w:tblGrid>
      <w:tr w14:paraId="61035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tcBorders>
              <w:top w:val="single" w:color="auto" w:sz="4" w:space="0"/>
              <w:left w:val="nil"/>
              <w:bottom w:val="nil"/>
              <w:right w:val="nil"/>
            </w:tcBorders>
          </w:tcPr>
          <w:p w14:paraId="342CB9EC">
            <w:pPr>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从决算编报单位</w:t>
            </w:r>
            <w:bookmarkStart w:id="0" w:name="_GoBack"/>
            <w:bookmarkEnd w:id="0"/>
            <w:r>
              <w:rPr>
                <w:rFonts w:hint="eastAsia" w:ascii="仿宋_GB2312" w:hAnsi="Calibri" w:eastAsia="仿宋_GB2312" w:cs="ArialUnicodeMS"/>
                <w:kern w:val="0"/>
                <w:sz w:val="32"/>
                <w:szCs w:val="32"/>
              </w:rPr>
              <w:t>构成看，纳入2023年度本部门决算汇编范围的独立核算单位（以下简称“单位”）共</w:t>
            </w:r>
            <w:r>
              <w:rPr>
                <w:rFonts w:hint="eastAsia" w:ascii="仿宋_GB2312" w:hAnsi="Calibri" w:eastAsia="仿宋_GB2312" w:cs="ArialUnicodeMS"/>
                <w:kern w:val="0"/>
                <w:sz w:val="32"/>
                <w:szCs w:val="32"/>
                <w:lang w:val="en-US" w:eastAsia="zh-CN"/>
              </w:rPr>
              <w:t>1</w:t>
            </w:r>
            <w:r>
              <w:rPr>
                <w:rFonts w:hint="eastAsia" w:ascii="仿宋_GB2312" w:hAnsi="Calibri" w:eastAsia="仿宋_GB2312" w:cs="ArialUnicodeMS"/>
                <w:kern w:val="0"/>
                <w:sz w:val="32"/>
                <w:szCs w:val="32"/>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561E7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1" w:hRule="atLeast"/>
                <w:jc w:val="center"/>
              </w:trPr>
              <w:tc>
                <w:tcPr>
                  <w:tcW w:w="985" w:type="dxa"/>
                  <w:vAlign w:val="center"/>
                </w:tcPr>
                <w:p w14:paraId="52D80981">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3516D171">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7FE44BEC">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49049695">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42AF4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407037B1">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vAlign w:val="center"/>
                </w:tcPr>
                <w:p w14:paraId="4ECDEEDF">
                  <w:pPr>
                    <w:pStyle w:val="27"/>
                    <w:ind w:firstLine="0" w:firstLineChars="0"/>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平泉市人民检察院本级</w:t>
                  </w:r>
                </w:p>
              </w:tc>
              <w:tc>
                <w:tcPr>
                  <w:tcW w:w="2445" w:type="dxa"/>
                  <w:vAlign w:val="center"/>
                </w:tcPr>
                <w:p w14:paraId="4B419991">
                  <w:pPr>
                    <w:pStyle w:val="28"/>
                    <w:ind w:firstLine="0" w:firstLineChars="0"/>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行政单位</w:t>
                  </w:r>
                </w:p>
              </w:tc>
              <w:tc>
                <w:tcPr>
                  <w:tcW w:w="2665" w:type="dxa"/>
                </w:tcPr>
                <w:p w14:paraId="17D02ADA">
                  <w:pPr>
                    <w:spacing w:line="560" w:lineRule="exact"/>
                    <w:jc w:val="center"/>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财政拨款</w:t>
                  </w:r>
                </w:p>
              </w:tc>
            </w:tr>
          </w:tbl>
          <w:p w14:paraId="5E1C7103">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14:paraId="0C15B9DF">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14:paraId="3AB629F3">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14:paraId="0995534A">
      <w:pPr>
        <w:rPr>
          <w:rFonts w:hint="default" w:ascii="Arial" w:hAnsi="Arial" w:eastAsia="Arial" w:cs="Arial"/>
          <w:i w:val="0"/>
          <w:iCs w:val="0"/>
          <w:caps w:val="0"/>
          <w:color w:val="000000"/>
          <w:spacing w:val="0"/>
          <w:sz w:val="18"/>
          <w:szCs w:val="18"/>
          <w:highlight w:val="none"/>
          <w:shd w:val="clear" w:fill="FFFFFF"/>
        </w:rPr>
      </w:pPr>
    </w:p>
    <w:p w14:paraId="61464A12">
      <w:pPr>
        <w:rPr>
          <w:rFonts w:hint="default" w:ascii="Arial" w:hAnsi="Arial" w:eastAsia="Arial" w:cs="Arial"/>
          <w:i w:val="0"/>
          <w:iCs w:val="0"/>
          <w:caps w:val="0"/>
          <w:color w:val="000000"/>
          <w:spacing w:val="0"/>
          <w:sz w:val="18"/>
          <w:szCs w:val="18"/>
          <w:highlight w:val="none"/>
          <w:shd w:val="clear" w:fill="FFFFFF"/>
        </w:rPr>
      </w:pPr>
    </w:p>
    <w:p w14:paraId="3379C669">
      <w:pPr>
        <w:rPr>
          <w:rFonts w:hint="default" w:ascii="Arial" w:hAnsi="Arial" w:eastAsia="Arial" w:cs="Arial"/>
          <w:i w:val="0"/>
          <w:iCs w:val="0"/>
          <w:caps w:val="0"/>
          <w:color w:val="000000"/>
          <w:spacing w:val="0"/>
          <w:sz w:val="18"/>
          <w:szCs w:val="18"/>
          <w:highlight w:val="none"/>
          <w:shd w:val="clear" w:fill="FFFFFF"/>
        </w:rPr>
      </w:pPr>
    </w:p>
    <w:p w14:paraId="501F09AB">
      <w:pPr>
        <w:rPr>
          <w:rFonts w:hint="default" w:ascii="Arial" w:hAnsi="Arial" w:eastAsia="Arial" w:cs="Arial"/>
          <w:i w:val="0"/>
          <w:iCs w:val="0"/>
          <w:caps w:val="0"/>
          <w:color w:val="000000"/>
          <w:spacing w:val="0"/>
          <w:sz w:val="18"/>
          <w:szCs w:val="18"/>
          <w:highlight w:val="none"/>
          <w:shd w:val="clear" w:fill="FFFFFF"/>
        </w:rPr>
      </w:pPr>
    </w:p>
    <w:p w14:paraId="68D638A3">
      <w:pPr>
        <w:rPr>
          <w:rFonts w:hint="default" w:ascii="Arial" w:hAnsi="Arial" w:eastAsia="Arial" w:cs="Arial"/>
          <w:i w:val="0"/>
          <w:iCs w:val="0"/>
          <w:caps w:val="0"/>
          <w:color w:val="000000"/>
          <w:spacing w:val="0"/>
          <w:sz w:val="18"/>
          <w:szCs w:val="18"/>
          <w:highlight w:val="none"/>
          <w:shd w:val="clear" w:fill="FFFFFF"/>
        </w:rPr>
      </w:pPr>
    </w:p>
    <w:p w14:paraId="3BBC5798">
      <w:pPr>
        <w:rPr>
          <w:rFonts w:hint="default" w:ascii="Arial" w:hAnsi="Arial" w:eastAsia="Arial" w:cs="Arial"/>
          <w:i w:val="0"/>
          <w:iCs w:val="0"/>
          <w:caps w:val="0"/>
          <w:color w:val="000000"/>
          <w:spacing w:val="0"/>
          <w:sz w:val="18"/>
          <w:szCs w:val="18"/>
          <w:highlight w:val="none"/>
          <w:shd w:val="clear" w:fill="FFFFFF"/>
        </w:rPr>
      </w:pPr>
    </w:p>
    <w:p w14:paraId="074E5497">
      <w:pPr>
        <w:rPr>
          <w:rFonts w:hint="default" w:ascii="Arial" w:hAnsi="Arial" w:eastAsia="Arial" w:cs="Arial"/>
          <w:i w:val="0"/>
          <w:iCs w:val="0"/>
          <w:caps w:val="0"/>
          <w:color w:val="000000"/>
          <w:spacing w:val="0"/>
          <w:sz w:val="18"/>
          <w:szCs w:val="18"/>
          <w:highlight w:val="none"/>
          <w:shd w:val="clear" w:fill="FFFFFF"/>
        </w:rPr>
      </w:pPr>
    </w:p>
    <w:p w14:paraId="1AF0B059">
      <w:pPr>
        <w:rPr>
          <w:rFonts w:hint="default" w:ascii="Arial" w:hAnsi="Arial" w:eastAsia="Arial" w:cs="Arial"/>
          <w:i w:val="0"/>
          <w:iCs w:val="0"/>
          <w:caps w:val="0"/>
          <w:color w:val="000000"/>
          <w:spacing w:val="0"/>
          <w:sz w:val="18"/>
          <w:szCs w:val="18"/>
          <w:highlight w:val="none"/>
          <w:shd w:val="clear" w:fill="FFFFFF"/>
        </w:rPr>
      </w:pPr>
    </w:p>
    <w:p w14:paraId="05EF56D8">
      <w:pPr>
        <w:rPr>
          <w:rFonts w:hint="default" w:ascii="Arial" w:hAnsi="Arial" w:eastAsia="Arial" w:cs="Arial"/>
          <w:i w:val="0"/>
          <w:iCs w:val="0"/>
          <w:caps w:val="0"/>
          <w:color w:val="000000"/>
          <w:spacing w:val="0"/>
          <w:sz w:val="18"/>
          <w:szCs w:val="18"/>
          <w:highlight w:val="none"/>
          <w:shd w:val="clear" w:fill="FFFFFF"/>
        </w:rPr>
      </w:pPr>
    </w:p>
    <w:p w14:paraId="241CEC40">
      <w:pPr>
        <w:rPr>
          <w:rFonts w:hint="default" w:ascii="Arial" w:hAnsi="Arial" w:eastAsia="Arial" w:cs="Arial"/>
          <w:i w:val="0"/>
          <w:iCs w:val="0"/>
          <w:caps w:val="0"/>
          <w:color w:val="000000"/>
          <w:spacing w:val="0"/>
          <w:sz w:val="18"/>
          <w:szCs w:val="18"/>
          <w:highlight w:val="none"/>
          <w:shd w:val="clear" w:fill="FFFFFF"/>
        </w:rPr>
      </w:pPr>
    </w:p>
    <w:p w14:paraId="32627672">
      <w:pPr>
        <w:rPr>
          <w:rFonts w:hint="default" w:ascii="Arial" w:hAnsi="Arial" w:eastAsia="Arial" w:cs="Arial"/>
          <w:i w:val="0"/>
          <w:iCs w:val="0"/>
          <w:caps w:val="0"/>
          <w:color w:val="000000"/>
          <w:spacing w:val="0"/>
          <w:sz w:val="18"/>
          <w:szCs w:val="18"/>
          <w:highlight w:val="none"/>
          <w:shd w:val="clear" w:fill="FFFFFF"/>
        </w:rPr>
      </w:pPr>
    </w:p>
    <w:p w14:paraId="0E9A005C">
      <w:pPr>
        <w:rPr>
          <w:rFonts w:hint="default" w:ascii="Arial" w:hAnsi="Arial" w:eastAsia="Arial" w:cs="Arial"/>
          <w:i w:val="0"/>
          <w:iCs w:val="0"/>
          <w:caps w:val="0"/>
          <w:color w:val="000000"/>
          <w:spacing w:val="0"/>
          <w:sz w:val="18"/>
          <w:szCs w:val="18"/>
          <w:highlight w:val="none"/>
          <w:shd w:val="clear" w:fill="FFFFFF"/>
        </w:rPr>
      </w:pPr>
    </w:p>
    <w:p w14:paraId="4971F93F">
      <w:pPr>
        <w:rPr>
          <w:rFonts w:hint="eastAsia" w:ascii="Arial" w:hAnsi="Arial" w:eastAsia="Arial" w:cs="Arial"/>
          <w:i w:val="0"/>
          <w:iCs w:val="0"/>
          <w:caps w:val="0"/>
          <w:color w:val="000000"/>
          <w:spacing w:val="0"/>
          <w:sz w:val="18"/>
          <w:szCs w:val="18"/>
          <w:highlight w:val="none"/>
          <w:shd w:val="clear" w:fill="FFFFFF"/>
        </w:rPr>
      </w:pPr>
    </w:p>
    <w:p w14:paraId="6AF3AE8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76407D2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5533A70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65632CA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09AF010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69CA4C3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23FC1A9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14:paraId="187AEC4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40756EA">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0D4C3E1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051C90BF">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1FCD40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EF03F3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13704E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14:paraId="2529035A">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855849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14:paraId="2ED0FF5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14:paraId="6233084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7" w:type="default"/>
          <w:pgSz w:w="11906" w:h="16838"/>
          <w:pgMar w:top="1440" w:right="1080" w:bottom="1440" w:left="1080" w:header="851" w:footer="992" w:gutter="0"/>
          <w:pgBorders>
            <w:top w:val="none" w:sz="0" w:space="0"/>
            <w:left w:val="none" w:sz="0" w:space="0"/>
            <w:bottom w:val="none" w:sz="0" w:space="0"/>
            <w:right w:val="none" w:sz="0" w:space="0"/>
          </w:pgBorders>
          <w:cols w:space="720" w:num="1"/>
          <w:docGrid w:type="lines" w:linePitch="312" w:charSpace="0"/>
        </w:sectPr>
      </w:pPr>
    </w:p>
    <w:tbl>
      <w:tblPr>
        <w:tblStyle w:val="12"/>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编制部门（单位）：平泉市人民检察院</w:t>
            </w:r>
          </w:p>
        </w:tc>
        <w:tc>
          <w:tcPr>
            <w:tcW w:w="1262"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1,268.27</w:t>
            </w:r>
          </w:p>
        </w:tc>
        <w:tc>
          <w:tcPr>
            <w:tcW w:w="1361"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997.13</w:t>
            </w: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189.48</w:t>
            </w: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29.86</w:t>
            </w: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51.80</w:t>
            </w: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1,268.27</w:t>
            </w:r>
          </w:p>
        </w:tc>
        <w:tc>
          <w:tcPr>
            <w:tcW w:w="1361"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1,268.27</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1,268.27</w:t>
            </w:r>
          </w:p>
        </w:tc>
        <w:tc>
          <w:tcPr>
            <w:tcW w:w="1361"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1,268.27</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50B55D9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14:paraId="68337914">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73AF7CB1">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2"/>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12"/>
        <w:gridCol w:w="1764"/>
        <w:gridCol w:w="1008"/>
        <w:gridCol w:w="996"/>
        <w:gridCol w:w="744"/>
        <w:gridCol w:w="751"/>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784"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编制部门（单位）：平泉市人民检察院                                                                                                         </w:t>
            </w:r>
          </w:p>
        </w:tc>
        <w:tc>
          <w:tcPr>
            <w:tcW w:w="2858"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776"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08"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996"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744"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751"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12"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764"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08"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996"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744"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751"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12"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764"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08"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996"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744"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751"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12"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764"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08"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996"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744"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751"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776"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08"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996"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744"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751"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776"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08"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1,268.27</w:t>
            </w:r>
          </w:p>
        </w:tc>
        <w:tc>
          <w:tcPr>
            <w:tcW w:w="996"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1,268.27</w:t>
            </w:r>
          </w:p>
        </w:tc>
        <w:tc>
          <w:tcPr>
            <w:tcW w:w="744"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751"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12"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w:t>
            </w:r>
          </w:p>
        </w:tc>
        <w:tc>
          <w:tcPr>
            <w:tcW w:w="1764"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公共安全支出</w:t>
            </w:r>
          </w:p>
        </w:tc>
        <w:tc>
          <w:tcPr>
            <w:tcW w:w="1008"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997.13</w:t>
            </w:r>
          </w:p>
        </w:tc>
        <w:tc>
          <w:tcPr>
            <w:tcW w:w="996"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997.13</w:t>
            </w:r>
          </w:p>
        </w:tc>
        <w:tc>
          <w:tcPr>
            <w:tcW w:w="744"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51"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D41C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12" w:type="dxa"/>
            <w:tcBorders>
              <w:top w:val="nil"/>
              <w:left w:val="single" w:color="000000" w:sz="4" w:space="0"/>
              <w:bottom w:val="single" w:color="000000" w:sz="4" w:space="0"/>
              <w:right w:val="single" w:color="000000" w:sz="4" w:space="0"/>
            </w:tcBorders>
            <w:noWrap/>
            <w:vAlign w:val="center"/>
          </w:tcPr>
          <w:p w14:paraId="286B28D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20404</w:t>
            </w:r>
          </w:p>
        </w:tc>
        <w:tc>
          <w:tcPr>
            <w:tcW w:w="1764" w:type="dxa"/>
            <w:tcBorders>
              <w:top w:val="nil"/>
              <w:left w:val="nil"/>
              <w:bottom w:val="single" w:color="000000" w:sz="4" w:space="0"/>
              <w:right w:val="single" w:color="000000" w:sz="4" w:space="0"/>
            </w:tcBorders>
            <w:noWrap/>
            <w:vAlign w:val="center"/>
          </w:tcPr>
          <w:p w14:paraId="728EDC9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检察</w:t>
            </w:r>
          </w:p>
        </w:tc>
        <w:tc>
          <w:tcPr>
            <w:tcW w:w="1008" w:type="dxa"/>
            <w:tcBorders>
              <w:top w:val="nil"/>
              <w:left w:val="nil"/>
              <w:bottom w:val="single" w:color="000000" w:sz="4" w:space="0"/>
              <w:right w:val="single" w:color="000000" w:sz="4" w:space="0"/>
            </w:tcBorders>
            <w:noWrap/>
            <w:vAlign w:val="center"/>
          </w:tcPr>
          <w:p w14:paraId="42E4FA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997.13</w:t>
            </w:r>
          </w:p>
        </w:tc>
        <w:tc>
          <w:tcPr>
            <w:tcW w:w="996" w:type="dxa"/>
            <w:tcBorders>
              <w:top w:val="nil"/>
              <w:left w:val="nil"/>
              <w:bottom w:val="single" w:color="000000" w:sz="4" w:space="0"/>
              <w:right w:val="single" w:color="000000" w:sz="4" w:space="0"/>
            </w:tcBorders>
            <w:noWrap/>
            <w:vAlign w:val="center"/>
          </w:tcPr>
          <w:p w14:paraId="7CE271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997.13</w:t>
            </w:r>
          </w:p>
        </w:tc>
        <w:tc>
          <w:tcPr>
            <w:tcW w:w="744" w:type="dxa"/>
            <w:tcBorders>
              <w:top w:val="nil"/>
              <w:left w:val="nil"/>
              <w:bottom w:val="single" w:color="000000" w:sz="4" w:space="0"/>
              <w:right w:val="single" w:color="000000" w:sz="4" w:space="0"/>
            </w:tcBorders>
            <w:noWrap/>
            <w:vAlign w:val="center"/>
          </w:tcPr>
          <w:p w14:paraId="327584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51" w:type="dxa"/>
            <w:tcBorders>
              <w:top w:val="nil"/>
              <w:left w:val="nil"/>
              <w:bottom w:val="single" w:color="000000" w:sz="4" w:space="0"/>
              <w:right w:val="single" w:color="000000" w:sz="4" w:space="0"/>
            </w:tcBorders>
            <w:noWrap/>
            <w:vAlign w:val="center"/>
          </w:tcPr>
          <w:p w14:paraId="3429D2A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57FC0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4D82E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0E2D7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7CCF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12" w:type="dxa"/>
            <w:tcBorders>
              <w:top w:val="nil"/>
              <w:left w:val="single" w:color="000000" w:sz="4" w:space="0"/>
              <w:bottom w:val="single" w:color="000000" w:sz="4" w:space="0"/>
              <w:right w:val="single" w:color="000000" w:sz="4" w:space="0"/>
            </w:tcBorders>
            <w:noWrap/>
            <w:vAlign w:val="center"/>
          </w:tcPr>
          <w:p w14:paraId="59DDB73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2040401</w:t>
            </w:r>
          </w:p>
        </w:tc>
        <w:tc>
          <w:tcPr>
            <w:tcW w:w="1764" w:type="dxa"/>
            <w:tcBorders>
              <w:top w:val="nil"/>
              <w:left w:val="nil"/>
              <w:bottom w:val="single" w:color="000000" w:sz="4" w:space="0"/>
              <w:right w:val="single" w:color="000000" w:sz="4" w:space="0"/>
            </w:tcBorders>
            <w:noWrap/>
            <w:vAlign w:val="center"/>
          </w:tcPr>
          <w:p w14:paraId="5551D4C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08" w:type="dxa"/>
            <w:tcBorders>
              <w:top w:val="nil"/>
              <w:left w:val="nil"/>
              <w:bottom w:val="single" w:color="000000" w:sz="4" w:space="0"/>
              <w:right w:val="single" w:color="000000" w:sz="4" w:space="0"/>
            </w:tcBorders>
            <w:noWrap/>
            <w:vAlign w:val="center"/>
          </w:tcPr>
          <w:p w14:paraId="4898609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756.43</w:t>
            </w:r>
          </w:p>
        </w:tc>
        <w:tc>
          <w:tcPr>
            <w:tcW w:w="996" w:type="dxa"/>
            <w:tcBorders>
              <w:top w:val="nil"/>
              <w:left w:val="nil"/>
              <w:bottom w:val="single" w:color="000000" w:sz="4" w:space="0"/>
              <w:right w:val="single" w:color="000000" w:sz="4" w:space="0"/>
            </w:tcBorders>
            <w:noWrap/>
            <w:vAlign w:val="center"/>
          </w:tcPr>
          <w:p w14:paraId="0A2789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756.43</w:t>
            </w:r>
          </w:p>
        </w:tc>
        <w:tc>
          <w:tcPr>
            <w:tcW w:w="744" w:type="dxa"/>
            <w:tcBorders>
              <w:top w:val="nil"/>
              <w:left w:val="nil"/>
              <w:bottom w:val="single" w:color="000000" w:sz="4" w:space="0"/>
              <w:right w:val="single" w:color="000000" w:sz="4" w:space="0"/>
            </w:tcBorders>
            <w:noWrap/>
            <w:vAlign w:val="center"/>
          </w:tcPr>
          <w:p w14:paraId="5F2D10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51" w:type="dxa"/>
            <w:tcBorders>
              <w:top w:val="nil"/>
              <w:left w:val="nil"/>
              <w:bottom w:val="single" w:color="000000" w:sz="4" w:space="0"/>
              <w:right w:val="single" w:color="000000" w:sz="4" w:space="0"/>
            </w:tcBorders>
            <w:noWrap/>
            <w:vAlign w:val="center"/>
          </w:tcPr>
          <w:p w14:paraId="3A3DDF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45687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C6BBF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F944A7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04EA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12" w:type="dxa"/>
            <w:tcBorders>
              <w:top w:val="nil"/>
              <w:left w:val="single" w:color="000000" w:sz="4" w:space="0"/>
              <w:bottom w:val="single" w:color="000000" w:sz="4" w:space="0"/>
              <w:right w:val="single" w:color="000000" w:sz="4" w:space="0"/>
            </w:tcBorders>
            <w:noWrap/>
            <w:vAlign w:val="center"/>
          </w:tcPr>
          <w:p w14:paraId="286DFBA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2040402</w:t>
            </w:r>
          </w:p>
        </w:tc>
        <w:tc>
          <w:tcPr>
            <w:tcW w:w="1764" w:type="dxa"/>
            <w:tcBorders>
              <w:top w:val="nil"/>
              <w:left w:val="nil"/>
              <w:bottom w:val="single" w:color="000000" w:sz="4" w:space="0"/>
              <w:right w:val="single" w:color="000000" w:sz="4" w:space="0"/>
            </w:tcBorders>
            <w:noWrap/>
            <w:vAlign w:val="center"/>
          </w:tcPr>
          <w:p w14:paraId="2A9B95A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08" w:type="dxa"/>
            <w:tcBorders>
              <w:top w:val="nil"/>
              <w:left w:val="nil"/>
              <w:bottom w:val="single" w:color="000000" w:sz="4" w:space="0"/>
              <w:right w:val="single" w:color="000000" w:sz="4" w:space="0"/>
            </w:tcBorders>
            <w:noWrap/>
            <w:vAlign w:val="center"/>
          </w:tcPr>
          <w:p w14:paraId="6E94DC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101.34</w:t>
            </w:r>
          </w:p>
        </w:tc>
        <w:tc>
          <w:tcPr>
            <w:tcW w:w="996" w:type="dxa"/>
            <w:tcBorders>
              <w:top w:val="nil"/>
              <w:left w:val="nil"/>
              <w:bottom w:val="single" w:color="000000" w:sz="4" w:space="0"/>
              <w:right w:val="single" w:color="000000" w:sz="4" w:space="0"/>
            </w:tcBorders>
            <w:noWrap/>
            <w:vAlign w:val="center"/>
          </w:tcPr>
          <w:p w14:paraId="0058AB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101.34</w:t>
            </w:r>
          </w:p>
        </w:tc>
        <w:tc>
          <w:tcPr>
            <w:tcW w:w="744" w:type="dxa"/>
            <w:tcBorders>
              <w:top w:val="nil"/>
              <w:left w:val="nil"/>
              <w:bottom w:val="single" w:color="000000" w:sz="4" w:space="0"/>
              <w:right w:val="single" w:color="000000" w:sz="4" w:space="0"/>
            </w:tcBorders>
            <w:noWrap/>
            <w:vAlign w:val="center"/>
          </w:tcPr>
          <w:p w14:paraId="61891A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51" w:type="dxa"/>
            <w:tcBorders>
              <w:top w:val="nil"/>
              <w:left w:val="nil"/>
              <w:bottom w:val="single" w:color="000000" w:sz="4" w:space="0"/>
              <w:right w:val="single" w:color="000000" w:sz="4" w:space="0"/>
            </w:tcBorders>
            <w:noWrap/>
            <w:vAlign w:val="center"/>
          </w:tcPr>
          <w:p w14:paraId="29648F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30CAC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0CEEC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76264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C958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12" w:type="dxa"/>
            <w:tcBorders>
              <w:top w:val="nil"/>
              <w:left w:val="single" w:color="000000" w:sz="4" w:space="0"/>
              <w:bottom w:val="single" w:color="000000" w:sz="4" w:space="0"/>
              <w:right w:val="single" w:color="000000" w:sz="4" w:space="0"/>
            </w:tcBorders>
            <w:noWrap/>
            <w:vAlign w:val="center"/>
          </w:tcPr>
          <w:p w14:paraId="40F917F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2040410</w:t>
            </w:r>
          </w:p>
        </w:tc>
        <w:tc>
          <w:tcPr>
            <w:tcW w:w="1764" w:type="dxa"/>
            <w:tcBorders>
              <w:top w:val="nil"/>
              <w:left w:val="nil"/>
              <w:bottom w:val="single" w:color="000000" w:sz="4" w:space="0"/>
              <w:right w:val="single" w:color="000000" w:sz="4" w:space="0"/>
            </w:tcBorders>
            <w:noWrap/>
            <w:vAlign w:val="center"/>
          </w:tcPr>
          <w:p w14:paraId="515E88D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检察监督</w:t>
            </w:r>
          </w:p>
        </w:tc>
        <w:tc>
          <w:tcPr>
            <w:tcW w:w="1008" w:type="dxa"/>
            <w:tcBorders>
              <w:top w:val="nil"/>
              <w:left w:val="nil"/>
              <w:bottom w:val="single" w:color="000000" w:sz="4" w:space="0"/>
              <w:right w:val="single" w:color="000000" w:sz="4" w:space="0"/>
            </w:tcBorders>
            <w:noWrap/>
            <w:vAlign w:val="center"/>
          </w:tcPr>
          <w:p w14:paraId="5A0CFA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139.35</w:t>
            </w:r>
          </w:p>
        </w:tc>
        <w:tc>
          <w:tcPr>
            <w:tcW w:w="996" w:type="dxa"/>
            <w:tcBorders>
              <w:top w:val="nil"/>
              <w:left w:val="nil"/>
              <w:bottom w:val="single" w:color="000000" w:sz="4" w:space="0"/>
              <w:right w:val="single" w:color="000000" w:sz="4" w:space="0"/>
            </w:tcBorders>
            <w:noWrap/>
            <w:vAlign w:val="center"/>
          </w:tcPr>
          <w:p w14:paraId="258A4A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139.35</w:t>
            </w:r>
          </w:p>
        </w:tc>
        <w:tc>
          <w:tcPr>
            <w:tcW w:w="744" w:type="dxa"/>
            <w:tcBorders>
              <w:top w:val="nil"/>
              <w:left w:val="nil"/>
              <w:bottom w:val="single" w:color="000000" w:sz="4" w:space="0"/>
              <w:right w:val="single" w:color="000000" w:sz="4" w:space="0"/>
            </w:tcBorders>
            <w:noWrap/>
            <w:vAlign w:val="center"/>
          </w:tcPr>
          <w:p w14:paraId="3221A2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51" w:type="dxa"/>
            <w:tcBorders>
              <w:top w:val="nil"/>
              <w:left w:val="nil"/>
              <w:bottom w:val="single" w:color="000000" w:sz="4" w:space="0"/>
              <w:right w:val="single" w:color="000000" w:sz="4" w:space="0"/>
            </w:tcBorders>
            <w:noWrap/>
            <w:vAlign w:val="center"/>
          </w:tcPr>
          <w:p w14:paraId="19B3A1B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F221D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F01BD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CD32C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41C3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12" w:type="dxa"/>
            <w:tcBorders>
              <w:top w:val="nil"/>
              <w:left w:val="single" w:color="000000" w:sz="4" w:space="0"/>
              <w:bottom w:val="single" w:color="000000" w:sz="4" w:space="0"/>
              <w:right w:val="single" w:color="000000" w:sz="4" w:space="0"/>
            </w:tcBorders>
            <w:noWrap/>
            <w:vAlign w:val="center"/>
          </w:tcPr>
          <w:p w14:paraId="08D93C9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764" w:type="dxa"/>
            <w:tcBorders>
              <w:top w:val="nil"/>
              <w:left w:val="nil"/>
              <w:bottom w:val="single" w:color="000000" w:sz="4" w:space="0"/>
              <w:right w:val="single" w:color="000000" w:sz="4" w:space="0"/>
            </w:tcBorders>
            <w:noWrap/>
            <w:vAlign w:val="center"/>
          </w:tcPr>
          <w:p w14:paraId="550E457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08" w:type="dxa"/>
            <w:tcBorders>
              <w:top w:val="nil"/>
              <w:left w:val="nil"/>
              <w:bottom w:val="single" w:color="000000" w:sz="4" w:space="0"/>
              <w:right w:val="single" w:color="000000" w:sz="4" w:space="0"/>
            </w:tcBorders>
            <w:noWrap/>
            <w:vAlign w:val="center"/>
          </w:tcPr>
          <w:p w14:paraId="19EAEB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189.48</w:t>
            </w:r>
          </w:p>
        </w:tc>
        <w:tc>
          <w:tcPr>
            <w:tcW w:w="996" w:type="dxa"/>
            <w:tcBorders>
              <w:top w:val="nil"/>
              <w:left w:val="nil"/>
              <w:bottom w:val="single" w:color="000000" w:sz="4" w:space="0"/>
              <w:right w:val="single" w:color="000000" w:sz="4" w:space="0"/>
            </w:tcBorders>
            <w:noWrap/>
            <w:vAlign w:val="center"/>
          </w:tcPr>
          <w:p w14:paraId="0ED5ED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189.48</w:t>
            </w:r>
          </w:p>
        </w:tc>
        <w:tc>
          <w:tcPr>
            <w:tcW w:w="744" w:type="dxa"/>
            <w:tcBorders>
              <w:top w:val="nil"/>
              <w:left w:val="nil"/>
              <w:bottom w:val="single" w:color="000000" w:sz="4" w:space="0"/>
              <w:right w:val="single" w:color="000000" w:sz="4" w:space="0"/>
            </w:tcBorders>
            <w:noWrap/>
            <w:vAlign w:val="center"/>
          </w:tcPr>
          <w:p w14:paraId="6AF5FC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51" w:type="dxa"/>
            <w:tcBorders>
              <w:top w:val="nil"/>
              <w:left w:val="nil"/>
              <w:bottom w:val="single" w:color="000000" w:sz="4" w:space="0"/>
              <w:right w:val="single" w:color="000000" w:sz="4" w:space="0"/>
            </w:tcBorders>
            <w:noWrap/>
            <w:vAlign w:val="center"/>
          </w:tcPr>
          <w:p w14:paraId="6949D8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D1459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17DAB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11A782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74CC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12" w:type="dxa"/>
            <w:tcBorders>
              <w:top w:val="nil"/>
              <w:left w:val="single" w:color="000000" w:sz="4" w:space="0"/>
              <w:bottom w:val="single" w:color="000000" w:sz="4" w:space="0"/>
              <w:right w:val="single" w:color="000000" w:sz="4" w:space="0"/>
            </w:tcBorders>
            <w:noWrap/>
            <w:vAlign w:val="center"/>
          </w:tcPr>
          <w:p w14:paraId="040DAE2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764" w:type="dxa"/>
            <w:tcBorders>
              <w:top w:val="nil"/>
              <w:left w:val="nil"/>
              <w:bottom w:val="single" w:color="000000" w:sz="4" w:space="0"/>
              <w:right w:val="single" w:color="000000" w:sz="4" w:space="0"/>
            </w:tcBorders>
            <w:noWrap/>
            <w:vAlign w:val="center"/>
          </w:tcPr>
          <w:p w14:paraId="0BD8A2B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08" w:type="dxa"/>
            <w:tcBorders>
              <w:top w:val="nil"/>
              <w:left w:val="nil"/>
              <w:bottom w:val="single" w:color="000000" w:sz="4" w:space="0"/>
              <w:right w:val="single" w:color="000000" w:sz="4" w:space="0"/>
            </w:tcBorders>
            <w:noWrap/>
            <w:vAlign w:val="center"/>
          </w:tcPr>
          <w:p w14:paraId="55A5FD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184.55</w:t>
            </w:r>
          </w:p>
        </w:tc>
        <w:tc>
          <w:tcPr>
            <w:tcW w:w="996" w:type="dxa"/>
            <w:tcBorders>
              <w:top w:val="nil"/>
              <w:left w:val="nil"/>
              <w:bottom w:val="single" w:color="000000" w:sz="4" w:space="0"/>
              <w:right w:val="single" w:color="000000" w:sz="4" w:space="0"/>
            </w:tcBorders>
            <w:noWrap/>
            <w:vAlign w:val="center"/>
          </w:tcPr>
          <w:p w14:paraId="1ED977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184.55</w:t>
            </w:r>
          </w:p>
        </w:tc>
        <w:tc>
          <w:tcPr>
            <w:tcW w:w="744" w:type="dxa"/>
            <w:tcBorders>
              <w:top w:val="nil"/>
              <w:left w:val="nil"/>
              <w:bottom w:val="single" w:color="000000" w:sz="4" w:space="0"/>
              <w:right w:val="single" w:color="000000" w:sz="4" w:space="0"/>
            </w:tcBorders>
            <w:noWrap/>
            <w:vAlign w:val="center"/>
          </w:tcPr>
          <w:p w14:paraId="33ED02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51" w:type="dxa"/>
            <w:tcBorders>
              <w:top w:val="nil"/>
              <w:left w:val="nil"/>
              <w:bottom w:val="single" w:color="000000" w:sz="4" w:space="0"/>
              <w:right w:val="single" w:color="000000" w:sz="4" w:space="0"/>
            </w:tcBorders>
            <w:noWrap/>
            <w:vAlign w:val="center"/>
          </w:tcPr>
          <w:p w14:paraId="7E3018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8E482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45D64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28740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B67F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12" w:type="dxa"/>
            <w:tcBorders>
              <w:top w:val="nil"/>
              <w:left w:val="single" w:color="000000" w:sz="4" w:space="0"/>
              <w:bottom w:val="single" w:color="000000" w:sz="4" w:space="0"/>
              <w:right w:val="single" w:color="000000" w:sz="4" w:space="0"/>
            </w:tcBorders>
            <w:noWrap/>
            <w:vAlign w:val="center"/>
          </w:tcPr>
          <w:p w14:paraId="7AA65D0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764" w:type="dxa"/>
            <w:tcBorders>
              <w:top w:val="nil"/>
              <w:left w:val="nil"/>
              <w:bottom w:val="single" w:color="000000" w:sz="4" w:space="0"/>
              <w:right w:val="single" w:color="000000" w:sz="4" w:space="0"/>
            </w:tcBorders>
            <w:noWrap/>
            <w:vAlign w:val="center"/>
          </w:tcPr>
          <w:p w14:paraId="2FC3808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08" w:type="dxa"/>
            <w:tcBorders>
              <w:top w:val="nil"/>
              <w:left w:val="nil"/>
              <w:bottom w:val="single" w:color="000000" w:sz="4" w:space="0"/>
              <w:right w:val="single" w:color="000000" w:sz="4" w:space="0"/>
            </w:tcBorders>
            <w:noWrap/>
            <w:vAlign w:val="center"/>
          </w:tcPr>
          <w:p w14:paraId="11B07B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118.01</w:t>
            </w:r>
          </w:p>
        </w:tc>
        <w:tc>
          <w:tcPr>
            <w:tcW w:w="996" w:type="dxa"/>
            <w:tcBorders>
              <w:top w:val="nil"/>
              <w:left w:val="nil"/>
              <w:bottom w:val="single" w:color="000000" w:sz="4" w:space="0"/>
              <w:right w:val="single" w:color="000000" w:sz="4" w:space="0"/>
            </w:tcBorders>
            <w:noWrap/>
            <w:vAlign w:val="center"/>
          </w:tcPr>
          <w:p w14:paraId="4B7272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118.01</w:t>
            </w:r>
          </w:p>
        </w:tc>
        <w:tc>
          <w:tcPr>
            <w:tcW w:w="744" w:type="dxa"/>
            <w:tcBorders>
              <w:top w:val="nil"/>
              <w:left w:val="nil"/>
              <w:bottom w:val="single" w:color="000000" w:sz="4" w:space="0"/>
              <w:right w:val="single" w:color="000000" w:sz="4" w:space="0"/>
            </w:tcBorders>
            <w:noWrap/>
            <w:vAlign w:val="center"/>
          </w:tcPr>
          <w:p w14:paraId="356F4C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51" w:type="dxa"/>
            <w:tcBorders>
              <w:top w:val="nil"/>
              <w:left w:val="nil"/>
              <w:bottom w:val="single" w:color="000000" w:sz="4" w:space="0"/>
              <w:right w:val="single" w:color="000000" w:sz="4" w:space="0"/>
            </w:tcBorders>
            <w:noWrap/>
            <w:vAlign w:val="center"/>
          </w:tcPr>
          <w:p w14:paraId="4AE54D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62F76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24793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E9CC0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93DC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12" w:type="dxa"/>
            <w:tcBorders>
              <w:top w:val="nil"/>
              <w:left w:val="single" w:color="000000" w:sz="4" w:space="0"/>
              <w:bottom w:val="single" w:color="000000" w:sz="4" w:space="0"/>
              <w:right w:val="single" w:color="000000" w:sz="4" w:space="0"/>
            </w:tcBorders>
            <w:noWrap/>
            <w:vAlign w:val="center"/>
          </w:tcPr>
          <w:p w14:paraId="7D05C0D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764" w:type="dxa"/>
            <w:tcBorders>
              <w:top w:val="nil"/>
              <w:left w:val="nil"/>
              <w:bottom w:val="single" w:color="000000" w:sz="4" w:space="0"/>
              <w:right w:val="single" w:color="000000" w:sz="4" w:space="0"/>
            </w:tcBorders>
            <w:noWrap/>
            <w:vAlign w:val="center"/>
          </w:tcPr>
          <w:p w14:paraId="4A81B87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08" w:type="dxa"/>
            <w:tcBorders>
              <w:top w:val="nil"/>
              <w:left w:val="nil"/>
              <w:bottom w:val="single" w:color="000000" w:sz="4" w:space="0"/>
              <w:right w:val="single" w:color="000000" w:sz="4" w:space="0"/>
            </w:tcBorders>
            <w:noWrap/>
            <w:vAlign w:val="center"/>
          </w:tcPr>
          <w:p w14:paraId="541FC5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66.54</w:t>
            </w:r>
          </w:p>
        </w:tc>
        <w:tc>
          <w:tcPr>
            <w:tcW w:w="996" w:type="dxa"/>
            <w:tcBorders>
              <w:top w:val="nil"/>
              <w:left w:val="nil"/>
              <w:bottom w:val="single" w:color="000000" w:sz="4" w:space="0"/>
              <w:right w:val="single" w:color="000000" w:sz="4" w:space="0"/>
            </w:tcBorders>
            <w:noWrap/>
            <w:vAlign w:val="center"/>
          </w:tcPr>
          <w:p w14:paraId="7B9A88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66.54</w:t>
            </w:r>
          </w:p>
        </w:tc>
        <w:tc>
          <w:tcPr>
            <w:tcW w:w="744" w:type="dxa"/>
            <w:tcBorders>
              <w:top w:val="nil"/>
              <w:left w:val="nil"/>
              <w:bottom w:val="single" w:color="000000" w:sz="4" w:space="0"/>
              <w:right w:val="single" w:color="000000" w:sz="4" w:space="0"/>
            </w:tcBorders>
            <w:noWrap/>
            <w:vAlign w:val="center"/>
          </w:tcPr>
          <w:p w14:paraId="6F2E41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51" w:type="dxa"/>
            <w:tcBorders>
              <w:top w:val="nil"/>
              <w:left w:val="nil"/>
              <w:bottom w:val="single" w:color="000000" w:sz="4" w:space="0"/>
              <w:right w:val="single" w:color="000000" w:sz="4" w:space="0"/>
            </w:tcBorders>
            <w:noWrap/>
            <w:vAlign w:val="center"/>
          </w:tcPr>
          <w:p w14:paraId="4534F1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CD081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BE915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35B82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F77B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12" w:type="dxa"/>
            <w:tcBorders>
              <w:top w:val="nil"/>
              <w:left w:val="single" w:color="000000" w:sz="4" w:space="0"/>
              <w:bottom w:val="single" w:color="000000" w:sz="4" w:space="0"/>
              <w:right w:val="single" w:color="000000" w:sz="4" w:space="0"/>
            </w:tcBorders>
            <w:noWrap/>
            <w:vAlign w:val="center"/>
          </w:tcPr>
          <w:p w14:paraId="2CFB4E5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20811</w:t>
            </w:r>
          </w:p>
        </w:tc>
        <w:tc>
          <w:tcPr>
            <w:tcW w:w="1764" w:type="dxa"/>
            <w:tcBorders>
              <w:top w:val="nil"/>
              <w:left w:val="nil"/>
              <w:bottom w:val="single" w:color="000000" w:sz="4" w:space="0"/>
              <w:right w:val="single" w:color="000000" w:sz="4" w:space="0"/>
            </w:tcBorders>
            <w:noWrap/>
            <w:vAlign w:val="center"/>
          </w:tcPr>
          <w:p w14:paraId="261898D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残疾人事业</w:t>
            </w:r>
          </w:p>
        </w:tc>
        <w:tc>
          <w:tcPr>
            <w:tcW w:w="1008" w:type="dxa"/>
            <w:tcBorders>
              <w:top w:val="nil"/>
              <w:left w:val="nil"/>
              <w:bottom w:val="single" w:color="000000" w:sz="4" w:space="0"/>
              <w:right w:val="single" w:color="000000" w:sz="4" w:space="0"/>
            </w:tcBorders>
            <w:noWrap/>
            <w:vAlign w:val="center"/>
          </w:tcPr>
          <w:p w14:paraId="4A755F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4.93</w:t>
            </w:r>
          </w:p>
        </w:tc>
        <w:tc>
          <w:tcPr>
            <w:tcW w:w="996" w:type="dxa"/>
            <w:tcBorders>
              <w:top w:val="nil"/>
              <w:left w:val="nil"/>
              <w:bottom w:val="single" w:color="000000" w:sz="4" w:space="0"/>
              <w:right w:val="single" w:color="000000" w:sz="4" w:space="0"/>
            </w:tcBorders>
            <w:noWrap/>
            <w:vAlign w:val="center"/>
          </w:tcPr>
          <w:p w14:paraId="397B6E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4.93</w:t>
            </w:r>
          </w:p>
        </w:tc>
        <w:tc>
          <w:tcPr>
            <w:tcW w:w="744" w:type="dxa"/>
            <w:tcBorders>
              <w:top w:val="nil"/>
              <w:left w:val="nil"/>
              <w:bottom w:val="single" w:color="000000" w:sz="4" w:space="0"/>
              <w:right w:val="single" w:color="000000" w:sz="4" w:space="0"/>
            </w:tcBorders>
            <w:noWrap/>
            <w:vAlign w:val="center"/>
          </w:tcPr>
          <w:p w14:paraId="23FCAB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51" w:type="dxa"/>
            <w:tcBorders>
              <w:top w:val="nil"/>
              <w:left w:val="nil"/>
              <w:bottom w:val="single" w:color="000000" w:sz="4" w:space="0"/>
              <w:right w:val="single" w:color="000000" w:sz="4" w:space="0"/>
            </w:tcBorders>
            <w:noWrap/>
            <w:vAlign w:val="center"/>
          </w:tcPr>
          <w:p w14:paraId="36F154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A1CDC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83DF4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8BBC3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C783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12" w:type="dxa"/>
            <w:tcBorders>
              <w:top w:val="nil"/>
              <w:left w:val="single" w:color="000000" w:sz="4" w:space="0"/>
              <w:bottom w:val="single" w:color="000000" w:sz="4" w:space="0"/>
              <w:right w:val="single" w:color="000000" w:sz="4" w:space="0"/>
            </w:tcBorders>
            <w:noWrap/>
            <w:vAlign w:val="center"/>
          </w:tcPr>
          <w:p w14:paraId="79A456D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2081101</w:t>
            </w:r>
          </w:p>
        </w:tc>
        <w:tc>
          <w:tcPr>
            <w:tcW w:w="1764" w:type="dxa"/>
            <w:tcBorders>
              <w:top w:val="nil"/>
              <w:left w:val="nil"/>
              <w:bottom w:val="single" w:color="000000" w:sz="4" w:space="0"/>
              <w:right w:val="single" w:color="000000" w:sz="4" w:space="0"/>
            </w:tcBorders>
            <w:noWrap/>
            <w:vAlign w:val="center"/>
          </w:tcPr>
          <w:p w14:paraId="5444B6C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08" w:type="dxa"/>
            <w:tcBorders>
              <w:top w:val="nil"/>
              <w:left w:val="nil"/>
              <w:bottom w:val="single" w:color="000000" w:sz="4" w:space="0"/>
              <w:right w:val="single" w:color="000000" w:sz="4" w:space="0"/>
            </w:tcBorders>
            <w:noWrap/>
            <w:vAlign w:val="center"/>
          </w:tcPr>
          <w:p w14:paraId="2A8EE8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4.93</w:t>
            </w:r>
          </w:p>
        </w:tc>
        <w:tc>
          <w:tcPr>
            <w:tcW w:w="996" w:type="dxa"/>
            <w:tcBorders>
              <w:top w:val="nil"/>
              <w:left w:val="nil"/>
              <w:bottom w:val="single" w:color="000000" w:sz="4" w:space="0"/>
              <w:right w:val="single" w:color="000000" w:sz="4" w:space="0"/>
            </w:tcBorders>
            <w:noWrap/>
            <w:vAlign w:val="center"/>
          </w:tcPr>
          <w:p w14:paraId="62EB3A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4.93</w:t>
            </w:r>
          </w:p>
        </w:tc>
        <w:tc>
          <w:tcPr>
            <w:tcW w:w="744" w:type="dxa"/>
            <w:tcBorders>
              <w:top w:val="nil"/>
              <w:left w:val="nil"/>
              <w:bottom w:val="single" w:color="000000" w:sz="4" w:space="0"/>
              <w:right w:val="single" w:color="000000" w:sz="4" w:space="0"/>
            </w:tcBorders>
            <w:noWrap/>
            <w:vAlign w:val="center"/>
          </w:tcPr>
          <w:p w14:paraId="1A9FE5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51" w:type="dxa"/>
            <w:tcBorders>
              <w:top w:val="nil"/>
              <w:left w:val="nil"/>
              <w:bottom w:val="single" w:color="000000" w:sz="4" w:space="0"/>
              <w:right w:val="single" w:color="000000" w:sz="4" w:space="0"/>
            </w:tcBorders>
            <w:noWrap/>
            <w:vAlign w:val="center"/>
          </w:tcPr>
          <w:p w14:paraId="62403C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94290E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C182C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6DC2B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4C4B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12" w:type="dxa"/>
            <w:tcBorders>
              <w:top w:val="nil"/>
              <w:left w:val="single" w:color="000000" w:sz="4" w:space="0"/>
              <w:bottom w:val="single" w:color="000000" w:sz="4" w:space="0"/>
              <w:right w:val="single" w:color="000000" w:sz="4" w:space="0"/>
            </w:tcBorders>
            <w:noWrap/>
            <w:vAlign w:val="center"/>
          </w:tcPr>
          <w:p w14:paraId="2A44A7E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764" w:type="dxa"/>
            <w:tcBorders>
              <w:top w:val="nil"/>
              <w:left w:val="nil"/>
              <w:bottom w:val="single" w:color="000000" w:sz="4" w:space="0"/>
              <w:right w:val="single" w:color="000000" w:sz="4" w:space="0"/>
            </w:tcBorders>
            <w:noWrap/>
            <w:vAlign w:val="center"/>
          </w:tcPr>
          <w:p w14:paraId="09F7CD5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08" w:type="dxa"/>
            <w:tcBorders>
              <w:top w:val="nil"/>
              <w:left w:val="nil"/>
              <w:bottom w:val="single" w:color="000000" w:sz="4" w:space="0"/>
              <w:right w:val="single" w:color="000000" w:sz="4" w:space="0"/>
            </w:tcBorders>
            <w:noWrap/>
            <w:vAlign w:val="center"/>
          </w:tcPr>
          <w:p w14:paraId="6CD3BB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29.86</w:t>
            </w:r>
          </w:p>
        </w:tc>
        <w:tc>
          <w:tcPr>
            <w:tcW w:w="996" w:type="dxa"/>
            <w:tcBorders>
              <w:top w:val="nil"/>
              <w:left w:val="nil"/>
              <w:bottom w:val="single" w:color="000000" w:sz="4" w:space="0"/>
              <w:right w:val="single" w:color="000000" w:sz="4" w:space="0"/>
            </w:tcBorders>
            <w:noWrap/>
            <w:vAlign w:val="center"/>
          </w:tcPr>
          <w:p w14:paraId="55CAB61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29.86</w:t>
            </w:r>
          </w:p>
        </w:tc>
        <w:tc>
          <w:tcPr>
            <w:tcW w:w="744" w:type="dxa"/>
            <w:tcBorders>
              <w:top w:val="nil"/>
              <w:left w:val="nil"/>
              <w:bottom w:val="single" w:color="000000" w:sz="4" w:space="0"/>
              <w:right w:val="single" w:color="000000" w:sz="4" w:space="0"/>
            </w:tcBorders>
            <w:noWrap/>
            <w:vAlign w:val="center"/>
          </w:tcPr>
          <w:p w14:paraId="4B88F2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51" w:type="dxa"/>
            <w:tcBorders>
              <w:top w:val="nil"/>
              <w:left w:val="nil"/>
              <w:bottom w:val="single" w:color="000000" w:sz="4" w:space="0"/>
              <w:right w:val="single" w:color="000000" w:sz="4" w:space="0"/>
            </w:tcBorders>
            <w:noWrap/>
            <w:vAlign w:val="center"/>
          </w:tcPr>
          <w:p w14:paraId="2E6B72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D6C404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1D994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53950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4698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12" w:type="dxa"/>
            <w:tcBorders>
              <w:top w:val="nil"/>
              <w:left w:val="single" w:color="000000" w:sz="4" w:space="0"/>
              <w:bottom w:val="single" w:color="000000" w:sz="4" w:space="0"/>
              <w:right w:val="single" w:color="000000" w:sz="4" w:space="0"/>
            </w:tcBorders>
            <w:noWrap/>
            <w:vAlign w:val="center"/>
          </w:tcPr>
          <w:p w14:paraId="187A48F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764" w:type="dxa"/>
            <w:tcBorders>
              <w:top w:val="nil"/>
              <w:left w:val="nil"/>
              <w:bottom w:val="single" w:color="000000" w:sz="4" w:space="0"/>
              <w:right w:val="single" w:color="000000" w:sz="4" w:space="0"/>
            </w:tcBorders>
            <w:noWrap/>
            <w:vAlign w:val="center"/>
          </w:tcPr>
          <w:p w14:paraId="09D3985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08" w:type="dxa"/>
            <w:tcBorders>
              <w:top w:val="nil"/>
              <w:left w:val="nil"/>
              <w:bottom w:val="single" w:color="000000" w:sz="4" w:space="0"/>
              <w:right w:val="single" w:color="000000" w:sz="4" w:space="0"/>
            </w:tcBorders>
            <w:noWrap/>
            <w:vAlign w:val="center"/>
          </w:tcPr>
          <w:p w14:paraId="504B6A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29.86</w:t>
            </w:r>
          </w:p>
        </w:tc>
        <w:tc>
          <w:tcPr>
            <w:tcW w:w="996" w:type="dxa"/>
            <w:tcBorders>
              <w:top w:val="nil"/>
              <w:left w:val="nil"/>
              <w:bottom w:val="single" w:color="000000" w:sz="4" w:space="0"/>
              <w:right w:val="single" w:color="000000" w:sz="4" w:space="0"/>
            </w:tcBorders>
            <w:noWrap/>
            <w:vAlign w:val="center"/>
          </w:tcPr>
          <w:p w14:paraId="379E41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29.86</w:t>
            </w:r>
          </w:p>
        </w:tc>
        <w:tc>
          <w:tcPr>
            <w:tcW w:w="744" w:type="dxa"/>
            <w:tcBorders>
              <w:top w:val="nil"/>
              <w:left w:val="nil"/>
              <w:bottom w:val="single" w:color="000000" w:sz="4" w:space="0"/>
              <w:right w:val="single" w:color="000000" w:sz="4" w:space="0"/>
            </w:tcBorders>
            <w:noWrap/>
            <w:vAlign w:val="center"/>
          </w:tcPr>
          <w:p w14:paraId="41D5C9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51" w:type="dxa"/>
            <w:tcBorders>
              <w:top w:val="nil"/>
              <w:left w:val="nil"/>
              <w:bottom w:val="single" w:color="000000" w:sz="4" w:space="0"/>
              <w:right w:val="single" w:color="000000" w:sz="4" w:space="0"/>
            </w:tcBorders>
            <w:noWrap/>
            <w:vAlign w:val="center"/>
          </w:tcPr>
          <w:p w14:paraId="03C9E1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2433A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415D4A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286D3B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95D2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12" w:type="dxa"/>
            <w:tcBorders>
              <w:top w:val="nil"/>
              <w:left w:val="single" w:color="000000" w:sz="4" w:space="0"/>
              <w:bottom w:val="single" w:color="000000" w:sz="4" w:space="0"/>
              <w:right w:val="single" w:color="000000" w:sz="4" w:space="0"/>
            </w:tcBorders>
            <w:noWrap/>
            <w:vAlign w:val="center"/>
          </w:tcPr>
          <w:p w14:paraId="4B2C1F4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764" w:type="dxa"/>
            <w:tcBorders>
              <w:top w:val="nil"/>
              <w:left w:val="nil"/>
              <w:bottom w:val="single" w:color="000000" w:sz="4" w:space="0"/>
              <w:right w:val="single" w:color="000000" w:sz="4" w:space="0"/>
            </w:tcBorders>
            <w:noWrap/>
            <w:vAlign w:val="center"/>
          </w:tcPr>
          <w:p w14:paraId="32C594B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08" w:type="dxa"/>
            <w:tcBorders>
              <w:top w:val="nil"/>
              <w:left w:val="nil"/>
              <w:bottom w:val="single" w:color="000000" w:sz="4" w:space="0"/>
              <w:right w:val="single" w:color="000000" w:sz="4" w:space="0"/>
            </w:tcBorders>
            <w:noWrap/>
            <w:vAlign w:val="center"/>
          </w:tcPr>
          <w:p w14:paraId="5ECB12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26.26</w:t>
            </w:r>
          </w:p>
        </w:tc>
        <w:tc>
          <w:tcPr>
            <w:tcW w:w="996" w:type="dxa"/>
            <w:tcBorders>
              <w:top w:val="nil"/>
              <w:left w:val="nil"/>
              <w:bottom w:val="single" w:color="000000" w:sz="4" w:space="0"/>
              <w:right w:val="single" w:color="000000" w:sz="4" w:space="0"/>
            </w:tcBorders>
            <w:noWrap/>
            <w:vAlign w:val="center"/>
          </w:tcPr>
          <w:p w14:paraId="0A0672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26.26</w:t>
            </w:r>
          </w:p>
        </w:tc>
        <w:tc>
          <w:tcPr>
            <w:tcW w:w="744" w:type="dxa"/>
            <w:tcBorders>
              <w:top w:val="nil"/>
              <w:left w:val="nil"/>
              <w:bottom w:val="single" w:color="000000" w:sz="4" w:space="0"/>
              <w:right w:val="single" w:color="000000" w:sz="4" w:space="0"/>
            </w:tcBorders>
            <w:noWrap/>
            <w:vAlign w:val="center"/>
          </w:tcPr>
          <w:p w14:paraId="71F563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51" w:type="dxa"/>
            <w:tcBorders>
              <w:top w:val="nil"/>
              <w:left w:val="nil"/>
              <w:bottom w:val="single" w:color="000000" w:sz="4" w:space="0"/>
              <w:right w:val="single" w:color="000000" w:sz="4" w:space="0"/>
            </w:tcBorders>
            <w:noWrap/>
            <w:vAlign w:val="center"/>
          </w:tcPr>
          <w:p w14:paraId="318589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DC179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2EF8F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7D475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E3B4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12" w:type="dxa"/>
            <w:tcBorders>
              <w:top w:val="nil"/>
              <w:left w:val="single" w:color="000000" w:sz="4" w:space="0"/>
              <w:bottom w:val="single" w:color="000000" w:sz="4" w:space="0"/>
              <w:right w:val="single" w:color="000000" w:sz="4" w:space="0"/>
            </w:tcBorders>
            <w:noWrap/>
            <w:vAlign w:val="center"/>
          </w:tcPr>
          <w:p w14:paraId="1F97E7C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2101103</w:t>
            </w:r>
          </w:p>
        </w:tc>
        <w:tc>
          <w:tcPr>
            <w:tcW w:w="1764" w:type="dxa"/>
            <w:tcBorders>
              <w:top w:val="nil"/>
              <w:left w:val="nil"/>
              <w:bottom w:val="single" w:color="000000" w:sz="4" w:space="0"/>
              <w:right w:val="single" w:color="000000" w:sz="4" w:space="0"/>
            </w:tcBorders>
            <w:noWrap/>
            <w:vAlign w:val="center"/>
          </w:tcPr>
          <w:p w14:paraId="04D9A52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公务员医疗补助</w:t>
            </w:r>
          </w:p>
        </w:tc>
        <w:tc>
          <w:tcPr>
            <w:tcW w:w="1008" w:type="dxa"/>
            <w:tcBorders>
              <w:top w:val="nil"/>
              <w:left w:val="nil"/>
              <w:bottom w:val="single" w:color="000000" w:sz="4" w:space="0"/>
              <w:right w:val="single" w:color="000000" w:sz="4" w:space="0"/>
            </w:tcBorders>
            <w:noWrap/>
            <w:vAlign w:val="center"/>
          </w:tcPr>
          <w:p w14:paraId="39DE96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3.60</w:t>
            </w:r>
          </w:p>
        </w:tc>
        <w:tc>
          <w:tcPr>
            <w:tcW w:w="996" w:type="dxa"/>
            <w:tcBorders>
              <w:top w:val="nil"/>
              <w:left w:val="nil"/>
              <w:bottom w:val="single" w:color="000000" w:sz="4" w:space="0"/>
              <w:right w:val="single" w:color="000000" w:sz="4" w:space="0"/>
            </w:tcBorders>
            <w:noWrap/>
            <w:vAlign w:val="center"/>
          </w:tcPr>
          <w:p w14:paraId="7D1FF1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3.60</w:t>
            </w:r>
          </w:p>
        </w:tc>
        <w:tc>
          <w:tcPr>
            <w:tcW w:w="744" w:type="dxa"/>
            <w:tcBorders>
              <w:top w:val="nil"/>
              <w:left w:val="nil"/>
              <w:bottom w:val="single" w:color="000000" w:sz="4" w:space="0"/>
              <w:right w:val="single" w:color="000000" w:sz="4" w:space="0"/>
            </w:tcBorders>
            <w:noWrap/>
            <w:vAlign w:val="center"/>
          </w:tcPr>
          <w:p w14:paraId="0595A0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51" w:type="dxa"/>
            <w:tcBorders>
              <w:top w:val="nil"/>
              <w:left w:val="nil"/>
              <w:bottom w:val="single" w:color="000000" w:sz="4" w:space="0"/>
              <w:right w:val="single" w:color="000000" w:sz="4" w:space="0"/>
            </w:tcBorders>
            <w:noWrap/>
            <w:vAlign w:val="center"/>
          </w:tcPr>
          <w:p w14:paraId="34C529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58EDC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C6487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80A08A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2D61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12" w:type="dxa"/>
            <w:tcBorders>
              <w:top w:val="nil"/>
              <w:left w:val="single" w:color="000000" w:sz="4" w:space="0"/>
              <w:bottom w:val="single" w:color="000000" w:sz="4" w:space="0"/>
              <w:right w:val="single" w:color="000000" w:sz="4" w:space="0"/>
            </w:tcBorders>
            <w:noWrap/>
            <w:vAlign w:val="center"/>
          </w:tcPr>
          <w:p w14:paraId="66E3074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764" w:type="dxa"/>
            <w:tcBorders>
              <w:top w:val="nil"/>
              <w:left w:val="nil"/>
              <w:bottom w:val="single" w:color="000000" w:sz="4" w:space="0"/>
              <w:right w:val="single" w:color="000000" w:sz="4" w:space="0"/>
            </w:tcBorders>
            <w:noWrap/>
            <w:vAlign w:val="center"/>
          </w:tcPr>
          <w:p w14:paraId="21CAF8B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08" w:type="dxa"/>
            <w:tcBorders>
              <w:top w:val="nil"/>
              <w:left w:val="nil"/>
              <w:bottom w:val="single" w:color="000000" w:sz="4" w:space="0"/>
              <w:right w:val="single" w:color="000000" w:sz="4" w:space="0"/>
            </w:tcBorders>
            <w:noWrap/>
            <w:vAlign w:val="center"/>
          </w:tcPr>
          <w:p w14:paraId="31BA2D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51.80</w:t>
            </w:r>
          </w:p>
        </w:tc>
        <w:tc>
          <w:tcPr>
            <w:tcW w:w="996" w:type="dxa"/>
            <w:tcBorders>
              <w:top w:val="nil"/>
              <w:left w:val="nil"/>
              <w:bottom w:val="single" w:color="000000" w:sz="4" w:space="0"/>
              <w:right w:val="single" w:color="000000" w:sz="4" w:space="0"/>
            </w:tcBorders>
            <w:noWrap/>
            <w:vAlign w:val="center"/>
          </w:tcPr>
          <w:p w14:paraId="0649AB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51.80</w:t>
            </w:r>
          </w:p>
        </w:tc>
        <w:tc>
          <w:tcPr>
            <w:tcW w:w="744" w:type="dxa"/>
            <w:tcBorders>
              <w:top w:val="nil"/>
              <w:left w:val="nil"/>
              <w:bottom w:val="single" w:color="000000" w:sz="4" w:space="0"/>
              <w:right w:val="single" w:color="000000" w:sz="4" w:space="0"/>
            </w:tcBorders>
            <w:noWrap/>
            <w:vAlign w:val="center"/>
          </w:tcPr>
          <w:p w14:paraId="1F73C8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51" w:type="dxa"/>
            <w:tcBorders>
              <w:top w:val="nil"/>
              <w:left w:val="nil"/>
              <w:bottom w:val="single" w:color="000000" w:sz="4" w:space="0"/>
              <w:right w:val="single" w:color="000000" w:sz="4" w:space="0"/>
            </w:tcBorders>
            <w:noWrap/>
            <w:vAlign w:val="center"/>
          </w:tcPr>
          <w:p w14:paraId="44E7FD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AF100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0C124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8416A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3AA0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12" w:type="dxa"/>
            <w:tcBorders>
              <w:top w:val="nil"/>
              <w:left w:val="single" w:color="000000" w:sz="4" w:space="0"/>
              <w:bottom w:val="single" w:color="000000" w:sz="4" w:space="0"/>
              <w:right w:val="single" w:color="000000" w:sz="4" w:space="0"/>
            </w:tcBorders>
            <w:noWrap/>
            <w:vAlign w:val="center"/>
          </w:tcPr>
          <w:p w14:paraId="23EBBDA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764" w:type="dxa"/>
            <w:tcBorders>
              <w:top w:val="nil"/>
              <w:left w:val="nil"/>
              <w:bottom w:val="single" w:color="000000" w:sz="4" w:space="0"/>
              <w:right w:val="single" w:color="000000" w:sz="4" w:space="0"/>
            </w:tcBorders>
            <w:noWrap/>
            <w:vAlign w:val="center"/>
          </w:tcPr>
          <w:p w14:paraId="227FE7F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08" w:type="dxa"/>
            <w:tcBorders>
              <w:top w:val="nil"/>
              <w:left w:val="nil"/>
              <w:bottom w:val="single" w:color="000000" w:sz="4" w:space="0"/>
              <w:right w:val="single" w:color="000000" w:sz="4" w:space="0"/>
            </w:tcBorders>
            <w:noWrap/>
            <w:vAlign w:val="center"/>
          </w:tcPr>
          <w:p w14:paraId="7FBA22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51.80</w:t>
            </w:r>
          </w:p>
        </w:tc>
        <w:tc>
          <w:tcPr>
            <w:tcW w:w="996" w:type="dxa"/>
            <w:tcBorders>
              <w:top w:val="nil"/>
              <w:left w:val="nil"/>
              <w:bottom w:val="single" w:color="000000" w:sz="4" w:space="0"/>
              <w:right w:val="single" w:color="000000" w:sz="4" w:space="0"/>
            </w:tcBorders>
            <w:noWrap/>
            <w:vAlign w:val="center"/>
          </w:tcPr>
          <w:p w14:paraId="519F7C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51.80</w:t>
            </w:r>
          </w:p>
        </w:tc>
        <w:tc>
          <w:tcPr>
            <w:tcW w:w="744" w:type="dxa"/>
            <w:tcBorders>
              <w:top w:val="nil"/>
              <w:left w:val="nil"/>
              <w:bottom w:val="single" w:color="000000" w:sz="4" w:space="0"/>
              <w:right w:val="single" w:color="000000" w:sz="4" w:space="0"/>
            </w:tcBorders>
            <w:noWrap/>
            <w:vAlign w:val="center"/>
          </w:tcPr>
          <w:p w14:paraId="4CA768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51" w:type="dxa"/>
            <w:tcBorders>
              <w:top w:val="nil"/>
              <w:left w:val="nil"/>
              <w:bottom w:val="single" w:color="000000" w:sz="4" w:space="0"/>
              <w:right w:val="single" w:color="000000" w:sz="4" w:space="0"/>
            </w:tcBorders>
            <w:noWrap/>
            <w:vAlign w:val="center"/>
          </w:tcPr>
          <w:p w14:paraId="5AE997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9A913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048A7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D39A15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5B14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12" w:type="dxa"/>
            <w:tcBorders>
              <w:top w:val="nil"/>
              <w:left w:val="single" w:color="000000" w:sz="4" w:space="0"/>
              <w:bottom w:val="single" w:color="000000" w:sz="4" w:space="0"/>
              <w:right w:val="single" w:color="000000" w:sz="4" w:space="0"/>
            </w:tcBorders>
            <w:noWrap/>
            <w:vAlign w:val="center"/>
          </w:tcPr>
          <w:p w14:paraId="3ED4DF0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764" w:type="dxa"/>
            <w:tcBorders>
              <w:top w:val="nil"/>
              <w:left w:val="nil"/>
              <w:bottom w:val="single" w:color="000000" w:sz="4" w:space="0"/>
              <w:right w:val="single" w:color="000000" w:sz="4" w:space="0"/>
            </w:tcBorders>
            <w:noWrap/>
            <w:vAlign w:val="center"/>
          </w:tcPr>
          <w:p w14:paraId="3AAC216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08" w:type="dxa"/>
            <w:tcBorders>
              <w:top w:val="nil"/>
              <w:left w:val="nil"/>
              <w:bottom w:val="single" w:color="000000" w:sz="4" w:space="0"/>
              <w:right w:val="single" w:color="000000" w:sz="4" w:space="0"/>
            </w:tcBorders>
            <w:noWrap/>
            <w:vAlign w:val="center"/>
          </w:tcPr>
          <w:p w14:paraId="456D0F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51.80</w:t>
            </w:r>
          </w:p>
        </w:tc>
        <w:tc>
          <w:tcPr>
            <w:tcW w:w="996" w:type="dxa"/>
            <w:tcBorders>
              <w:top w:val="nil"/>
              <w:left w:val="nil"/>
              <w:bottom w:val="single" w:color="000000" w:sz="4" w:space="0"/>
              <w:right w:val="single" w:color="000000" w:sz="4" w:space="0"/>
            </w:tcBorders>
            <w:noWrap/>
            <w:vAlign w:val="center"/>
          </w:tcPr>
          <w:p w14:paraId="17BABB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51.80</w:t>
            </w:r>
          </w:p>
        </w:tc>
        <w:tc>
          <w:tcPr>
            <w:tcW w:w="744" w:type="dxa"/>
            <w:tcBorders>
              <w:top w:val="nil"/>
              <w:left w:val="nil"/>
              <w:bottom w:val="single" w:color="000000" w:sz="4" w:space="0"/>
              <w:right w:val="single" w:color="000000" w:sz="4" w:space="0"/>
            </w:tcBorders>
            <w:noWrap/>
            <w:vAlign w:val="center"/>
          </w:tcPr>
          <w:p w14:paraId="0F858E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51" w:type="dxa"/>
            <w:tcBorders>
              <w:top w:val="nil"/>
              <w:left w:val="nil"/>
              <w:bottom w:val="single" w:color="000000" w:sz="4" w:space="0"/>
              <w:right w:val="single" w:color="000000" w:sz="4" w:space="0"/>
            </w:tcBorders>
            <w:noWrap/>
            <w:vAlign w:val="center"/>
          </w:tcPr>
          <w:p w14:paraId="28D9526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954BB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82A9B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E5FE6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587B3DA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14:paraId="68D20FCE">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2"/>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2"/>
        <w:gridCol w:w="1536"/>
        <w:gridCol w:w="983"/>
        <w:gridCol w:w="1000"/>
        <w:gridCol w:w="1126"/>
        <w:gridCol w:w="497"/>
        <w:gridCol w:w="629"/>
        <w:gridCol w:w="1126"/>
        <w:gridCol w:w="1487"/>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9"/>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9"/>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3"/>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编制部门（单位）：平泉市人民检察院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336"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525"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534" w:type="pct"/>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14"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821"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525"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534" w:type="pct"/>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14"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821"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525"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534" w:type="pct"/>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14"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821"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525"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534" w:type="pct"/>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336"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525"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534" w:type="pct"/>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336"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525"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1,268.27</w:t>
            </w:r>
          </w:p>
        </w:tc>
        <w:tc>
          <w:tcPr>
            <w:tcW w:w="534" w:type="pct"/>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1,027.58</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240.69</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14"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w:t>
            </w:r>
          </w:p>
        </w:tc>
        <w:tc>
          <w:tcPr>
            <w:tcW w:w="821"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公共安全支出</w:t>
            </w:r>
          </w:p>
        </w:tc>
        <w:tc>
          <w:tcPr>
            <w:tcW w:w="525"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997.13</w:t>
            </w:r>
          </w:p>
        </w:tc>
        <w:tc>
          <w:tcPr>
            <w:tcW w:w="534" w:type="pct"/>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756.43</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240.69</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p>
        </w:tc>
      </w:tr>
      <w:tr w14:paraId="3F6B4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14" w:type="pct"/>
            <w:tcBorders>
              <w:top w:val="nil"/>
              <w:left w:val="single" w:color="000000" w:sz="4" w:space="0"/>
              <w:bottom w:val="single" w:color="000000" w:sz="4" w:space="0"/>
              <w:right w:val="single" w:color="000000" w:sz="4" w:space="0"/>
            </w:tcBorders>
            <w:noWrap/>
            <w:vAlign w:val="center"/>
          </w:tcPr>
          <w:p w14:paraId="1C2CE7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w:t>
            </w:r>
          </w:p>
        </w:tc>
        <w:tc>
          <w:tcPr>
            <w:tcW w:w="821" w:type="pct"/>
            <w:tcBorders>
              <w:top w:val="nil"/>
              <w:left w:val="nil"/>
              <w:bottom w:val="single" w:color="000000" w:sz="4" w:space="0"/>
              <w:right w:val="single" w:color="000000" w:sz="4" w:space="0"/>
            </w:tcBorders>
            <w:noWrap/>
            <w:vAlign w:val="center"/>
          </w:tcPr>
          <w:p w14:paraId="1A910F7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检察</w:t>
            </w:r>
          </w:p>
        </w:tc>
        <w:tc>
          <w:tcPr>
            <w:tcW w:w="525" w:type="pct"/>
            <w:tcBorders>
              <w:top w:val="nil"/>
              <w:left w:val="nil"/>
              <w:bottom w:val="single" w:color="000000" w:sz="4" w:space="0"/>
              <w:right w:val="single" w:color="000000" w:sz="4" w:space="0"/>
            </w:tcBorders>
            <w:noWrap/>
            <w:vAlign w:val="center"/>
          </w:tcPr>
          <w:p w14:paraId="5966E1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997.13</w:t>
            </w:r>
          </w:p>
        </w:tc>
        <w:tc>
          <w:tcPr>
            <w:tcW w:w="534" w:type="pct"/>
            <w:tcBorders>
              <w:top w:val="nil"/>
              <w:left w:val="nil"/>
              <w:bottom w:val="single" w:color="000000" w:sz="4" w:space="0"/>
              <w:right w:val="single" w:color="000000" w:sz="4" w:space="0"/>
            </w:tcBorders>
            <w:noWrap/>
            <w:vAlign w:val="center"/>
          </w:tcPr>
          <w:p w14:paraId="6619D4C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756.43</w:t>
            </w:r>
          </w:p>
        </w:tc>
        <w:tc>
          <w:tcPr>
            <w:tcW w:w="602" w:type="pct"/>
            <w:tcBorders>
              <w:top w:val="nil"/>
              <w:left w:val="nil"/>
              <w:bottom w:val="single" w:color="000000" w:sz="4" w:space="0"/>
              <w:right w:val="single" w:color="000000" w:sz="4" w:space="0"/>
            </w:tcBorders>
            <w:noWrap/>
            <w:vAlign w:val="center"/>
          </w:tcPr>
          <w:p w14:paraId="1F1F48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240.69</w:t>
            </w:r>
          </w:p>
        </w:tc>
        <w:tc>
          <w:tcPr>
            <w:tcW w:w="602" w:type="pct"/>
            <w:gridSpan w:val="2"/>
            <w:tcBorders>
              <w:top w:val="nil"/>
              <w:left w:val="nil"/>
              <w:bottom w:val="single" w:color="000000" w:sz="4" w:space="0"/>
              <w:right w:val="single" w:color="000000" w:sz="4" w:space="0"/>
            </w:tcBorders>
            <w:noWrap/>
            <w:vAlign w:val="center"/>
          </w:tcPr>
          <w:p w14:paraId="05C993E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3E3942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C32702B">
            <w:pPr>
              <w:jc w:val="right"/>
              <w:rPr>
                <w:rFonts w:hint="default" w:ascii="Times New Roman" w:hAnsi="Times New Roman" w:eastAsia="宋体" w:cs="Times New Roman"/>
                <w:i w:val="0"/>
                <w:iCs w:val="0"/>
                <w:color w:val="000000"/>
                <w:sz w:val="20"/>
                <w:szCs w:val="20"/>
                <w:highlight w:val="none"/>
                <w:u w:val="none"/>
              </w:rPr>
            </w:pPr>
          </w:p>
        </w:tc>
      </w:tr>
      <w:tr w14:paraId="454A0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14" w:type="pct"/>
            <w:tcBorders>
              <w:top w:val="nil"/>
              <w:left w:val="single" w:color="000000" w:sz="4" w:space="0"/>
              <w:bottom w:val="single" w:color="000000" w:sz="4" w:space="0"/>
              <w:right w:val="single" w:color="000000" w:sz="4" w:space="0"/>
            </w:tcBorders>
            <w:noWrap/>
            <w:vAlign w:val="center"/>
          </w:tcPr>
          <w:p w14:paraId="3EDBE5F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2040401</w:t>
            </w:r>
          </w:p>
        </w:tc>
        <w:tc>
          <w:tcPr>
            <w:tcW w:w="821" w:type="pct"/>
            <w:tcBorders>
              <w:top w:val="nil"/>
              <w:left w:val="nil"/>
              <w:bottom w:val="single" w:color="000000" w:sz="4" w:space="0"/>
              <w:right w:val="single" w:color="000000" w:sz="4" w:space="0"/>
            </w:tcBorders>
            <w:noWrap/>
            <w:vAlign w:val="center"/>
          </w:tcPr>
          <w:p w14:paraId="0DF1C32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525" w:type="pct"/>
            <w:tcBorders>
              <w:top w:val="nil"/>
              <w:left w:val="nil"/>
              <w:bottom w:val="single" w:color="000000" w:sz="4" w:space="0"/>
              <w:right w:val="single" w:color="000000" w:sz="4" w:space="0"/>
            </w:tcBorders>
            <w:noWrap/>
            <w:vAlign w:val="center"/>
          </w:tcPr>
          <w:p w14:paraId="6308270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756.43</w:t>
            </w:r>
          </w:p>
        </w:tc>
        <w:tc>
          <w:tcPr>
            <w:tcW w:w="534" w:type="pct"/>
            <w:tcBorders>
              <w:top w:val="nil"/>
              <w:left w:val="nil"/>
              <w:bottom w:val="single" w:color="000000" w:sz="4" w:space="0"/>
              <w:right w:val="single" w:color="000000" w:sz="4" w:space="0"/>
            </w:tcBorders>
            <w:noWrap/>
            <w:vAlign w:val="center"/>
          </w:tcPr>
          <w:p w14:paraId="426D315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756.43</w:t>
            </w:r>
          </w:p>
        </w:tc>
        <w:tc>
          <w:tcPr>
            <w:tcW w:w="602" w:type="pct"/>
            <w:tcBorders>
              <w:top w:val="nil"/>
              <w:left w:val="nil"/>
              <w:bottom w:val="single" w:color="000000" w:sz="4" w:space="0"/>
              <w:right w:val="single" w:color="000000" w:sz="4" w:space="0"/>
            </w:tcBorders>
            <w:noWrap/>
            <w:vAlign w:val="center"/>
          </w:tcPr>
          <w:p w14:paraId="132C209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CB5AE9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5EC78B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2C286E9">
            <w:pPr>
              <w:jc w:val="right"/>
              <w:rPr>
                <w:rFonts w:hint="default" w:ascii="Times New Roman" w:hAnsi="Times New Roman" w:eastAsia="宋体" w:cs="Times New Roman"/>
                <w:i w:val="0"/>
                <w:iCs w:val="0"/>
                <w:color w:val="000000"/>
                <w:sz w:val="20"/>
                <w:szCs w:val="20"/>
                <w:highlight w:val="none"/>
                <w:u w:val="none"/>
              </w:rPr>
            </w:pPr>
          </w:p>
        </w:tc>
      </w:tr>
      <w:tr w14:paraId="2DC31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14" w:type="pct"/>
            <w:tcBorders>
              <w:top w:val="nil"/>
              <w:left w:val="single" w:color="000000" w:sz="4" w:space="0"/>
              <w:bottom w:val="single" w:color="000000" w:sz="4" w:space="0"/>
              <w:right w:val="single" w:color="000000" w:sz="4" w:space="0"/>
            </w:tcBorders>
            <w:noWrap/>
            <w:vAlign w:val="center"/>
          </w:tcPr>
          <w:p w14:paraId="52F0507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2040402</w:t>
            </w:r>
          </w:p>
        </w:tc>
        <w:tc>
          <w:tcPr>
            <w:tcW w:w="821" w:type="pct"/>
            <w:tcBorders>
              <w:top w:val="nil"/>
              <w:left w:val="nil"/>
              <w:bottom w:val="single" w:color="000000" w:sz="4" w:space="0"/>
              <w:right w:val="single" w:color="000000" w:sz="4" w:space="0"/>
            </w:tcBorders>
            <w:noWrap/>
            <w:vAlign w:val="center"/>
          </w:tcPr>
          <w:p w14:paraId="619AF93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525" w:type="pct"/>
            <w:tcBorders>
              <w:top w:val="nil"/>
              <w:left w:val="nil"/>
              <w:bottom w:val="single" w:color="000000" w:sz="4" w:space="0"/>
              <w:right w:val="single" w:color="000000" w:sz="4" w:space="0"/>
            </w:tcBorders>
            <w:noWrap/>
            <w:vAlign w:val="center"/>
          </w:tcPr>
          <w:p w14:paraId="014B20F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101.34</w:t>
            </w:r>
          </w:p>
        </w:tc>
        <w:tc>
          <w:tcPr>
            <w:tcW w:w="534" w:type="pct"/>
            <w:tcBorders>
              <w:top w:val="nil"/>
              <w:left w:val="nil"/>
              <w:bottom w:val="single" w:color="000000" w:sz="4" w:space="0"/>
              <w:right w:val="single" w:color="000000" w:sz="4" w:space="0"/>
            </w:tcBorders>
            <w:noWrap/>
            <w:vAlign w:val="center"/>
          </w:tcPr>
          <w:p w14:paraId="785A545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D65F0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101.34</w:t>
            </w:r>
          </w:p>
        </w:tc>
        <w:tc>
          <w:tcPr>
            <w:tcW w:w="602" w:type="pct"/>
            <w:gridSpan w:val="2"/>
            <w:tcBorders>
              <w:top w:val="nil"/>
              <w:left w:val="nil"/>
              <w:bottom w:val="single" w:color="000000" w:sz="4" w:space="0"/>
              <w:right w:val="single" w:color="000000" w:sz="4" w:space="0"/>
            </w:tcBorders>
            <w:noWrap/>
            <w:vAlign w:val="center"/>
          </w:tcPr>
          <w:p w14:paraId="71F4869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04A97A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A98943F">
            <w:pPr>
              <w:jc w:val="right"/>
              <w:rPr>
                <w:rFonts w:hint="default" w:ascii="Times New Roman" w:hAnsi="Times New Roman" w:eastAsia="宋体" w:cs="Times New Roman"/>
                <w:i w:val="0"/>
                <w:iCs w:val="0"/>
                <w:color w:val="000000"/>
                <w:sz w:val="20"/>
                <w:szCs w:val="20"/>
                <w:highlight w:val="none"/>
                <w:u w:val="none"/>
              </w:rPr>
            </w:pPr>
          </w:p>
        </w:tc>
      </w:tr>
      <w:tr w14:paraId="2BC0F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14" w:type="pct"/>
            <w:tcBorders>
              <w:top w:val="nil"/>
              <w:left w:val="single" w:color="000000" w:sz="4" w:space="0"/>
              <w:bottom w:val="single" w:color="000000" w:sz="4" w:space="0"/>
              <w:right w:val="single" w:color="000000" w:sz="4" w:space="0"/>
            </w:tcBorders>
            <w:noWrap/>
            <w:vAlign w:val="center"/>
          </w:tcPr>
          <w:p w14:paraId="3439144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2040410</w:t>
            </w:r>
          </w:p>
        </w:tc>
        <w:tc>
          <w:tcPr>
            <w:tcW w:w="821" w:type="pct"/>
            <w:tcBorders>
              <w:top w:val="nil"/>
              <w:left w:val="nil"/>
              <w:bottom w:val="single" w:color="000000" w:sz="4" w:space="0"/>
              <w:right w:val="single" w:color="000000" w:sz="4" w:space="0"/>
            </w:tcBorders>
            <w:noWrap/>
            <w:vAlign w:val="center"/>
          </w:tcPr>
          <w:p w14:paraId="1AFD8AC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检察监督</w:t>
            </w:r>
          </w:p>
        </w:tc>
        <w:tc>
          <w:tcPr>
            <w:tcW w:w="525" w:type="pct"/>
            <w:tcBorders>
              <w:top w:val="nil"/>
              <w:left w:val="nil"/>
              <w:bottom w:val="single" w:color="000000" w:sz="4" w:space="0"/>
              <w:right w:val="single" w:color="000000" w:sz="4" w:space="0"/>
            </w:tcBorders>
            <w:noWrap/>
            <w:vAlign w:val="center"/>
          </w:tcPr>
          <w:p w14:paraId="1248326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139.35</w:t>
            </w:r>
          </w:p>
        </w:tc>
        <w:tc>
          <w:tcPr>
            <w:tcW w:w="534" w:type="pct"/>
            <w:tcBorders>
              <w:top w:val="nil"/>
              <w:left w:val="nil"/>
              <w:bottom w:val="single" w:color="000000" w:sz="4" w:space="0"/>
              <w:right w:val="single" w:color="000000" w:sz="4" w:space="0"/>
            </w:tcBorders>
            <w:noWrap/>
            <w:vAlign w:val="center"/>
          </w:tcPr>
          <w:p w14:paraId="7A38EA9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8B608B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139.35</w:t>
            </w:r>
          </w:p>
        </w:tc>
        <w:tc>
          <w:tcPr>
            <w:tcW w:w="602" w:type="pct"/>
            <w:gridSpan w:val="2"/>
            <w:tcBorders>
              <w:top w:val="nil"/>
              <w:left w:val="nil"/>
              <w:bottom w:val="single" w:color="000000" w:sz="4" w:space="0"/>
              <w:right w:val="single" w:color="000000" w:sz="4" w:space="0"/>
            </w:tcBorders>
            <w:noWrap/>
            <w:vAlign w:val="center"/>
          </w:tcPr>
          <w:p w14:paraId="7F6827A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448819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A6C922C">
            <w:pPr>
              <w:jc w:val="right"/>
              <w:rPr>
                <w:rFonts w:hint="default" w:ascii="Times New Roman" w:hAnsi="Times New Roman" w:eastAsia="宋体" w:cs="Times New Roman"/>
                <w:i w:val="0"/>
                <w:iCs w:val="0"/>
                <w:color w:val="000000"/>
                <w:sz w:val="20"/>
                <w:szCs w:val="20"/>
                <w:highlight w:val="none"/>
                <w:u w:val="none"/>
              </w:rPr>
            </w:pPr>
          </w:p>
        </w:tc>
      </w:tr>
      <w:tr w14:paraId="66E05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14" w:type="pct"/>
            <w:tcBorders>
              <w:top w:val="nil"/>
              <w:left w:val="single" w:color="000000" w:sz="4" w:space="0"/>
              <w:bottom w:val="single" w:color="000000" w:sz="4" w:space="0"/>
              <w:right w:val="single" w:color="000000" w:sz="4" w:space="0"/>
            </w:tcBorders>
            <w:noWrap/>
            <w:vAlign w:val="center"/>
          </w:tcPr>
          <w:p w14:paraId="1364821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821" w:type="pct"/>
            <w:tcBorders>
              <w:top w:val="nil"/>
              <w:left w:val="nil"/>
              <w:bottom w:val="single" w:color="000000" w:sz="4" w:space="0"/>
              <w:right w:val="single" w:color="000000" w:sz="4" w:space="0"/>
            </w:tcBorders>
            <w:noWrap/>
            <w:vAlign w:val="center"/>
          </w:tcPr>
          <w:p w14:paraId="2D944A5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525" w:type="pct"/>
            <w:tcBorders>
              <w:top w:val="nil"/>
              <w:left w:val="nil"/>
              <w:bottom w:val="single" w:color="000000" w:sz="4" w:space="0"/>
              <w:right w:val="single" w:color="000000" w:sz="4" w:space="0"/>
            </w:tcBorders>
            <w:noWrap/>
            <w:vAlign w:val="center"/>
          </w:tcPr>
          <w:p w14:paraId="51ADCD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189.48</w:t>
            </w:r>
          </w:p>
        </w:tc>
        <w:tc>
          <w:tcPr>
            <w:tcW w:w="534" w:type="pct"/>
            <w:tcBorders>
              <w:top w:val="nil"/>
              <w:left w:val="nil"/>
              <w:bottom w:val="single" w:color="000000" w:sz="4" w:space="0"/>
              <w:right w:val="single" w:color="000000" w:sz="4" w:space="0"/>
            </w:tcBorders>
            <w:noWrap/>
            <w:vAlign w:val="center"/>
          </w:tcPr>
          <w:p w14:paraId="20E04A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189.48</w:t>
            </w:r>
          </w:p>
        </w:tc>
        <w:tc>
          <w:tcPr>
            <w:tcW w:w="602" w:type="pct"/>
            <w:tcBorders>
              <w:top w:val="nil"/>
              <w:left w:val="nil"/>
              <w:bottom w:val="single" w:color="000000" w:sz="4" w:space="0"/>
              <w:right w:val="single" w:color="000000" w:sz="4" w:space="0"/>
            </w:tcBorders>
            <w:noWrap/>
            <w:vAlign w:val="center"/>
          </w:tcPr>
          <w:p w14:paraId="462E8887">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DB8E37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8BCED8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AA110CB">
            <w:pPr>
              <w:jc w:val="right"/>
              <w:rPr>
                <w:rFonts w:hint="default" w:ascii="Times New Roman" w:hAnsi="Times New Roman" w:eastAsia="宋体" w:cs="Times New Roman"/>
                <w:i w:val="0"/>
                <w:iCs w:val="0"/>
                <w:color w:val="000000"/>
                <w:sz w:val="20"/>
                <w:szCs w:val="20"/>
                <w:highlight w:val="none"/>
                <w:u w:val="none"/>
              </w:rPr>
            </w:pPr>
          </w:p>
        </w:tc>
      </w:tr>
      <w:tr w14:paraId="77C07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14" w:type="pct"/>
            <w:tcBorders>
              <w:top w:val="nil"/>
              <w:left w:val="single" w:color="000000" w:sz="4" w:space="0"/>
              <w:bottom w:val="single" w:color="000000" w:sz="4" w:space="0"/>
              <w:right w:val="single" w:color="000000" w:sz="4" w:space="0"/>
            </w:tcBorders>
            <w:noWrap/>
            <w:vAlign w:val="center"/>
          </w:tcPr>
          <w:p w14:paraId="7BD0C42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821" w:type="pct"/>
            <w:tcBorders>
              <w:top w:val="nil"/>
              <w:left w:val="nil"/>
              <w:bottom w:val="single" w:color="000000" w:sz="4" w:space="0"/>
              <w:right w:val="single" w:color="000000" w:sz="4" w:space="0"/>
            </w:tcBorders>
            <w:noWrap/>
            <w:vAlign w:val="center"/>
          </w:tcPr>
          <w:p w14:paraId="15D6BE7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525" w:type="pct"/>
            <w:tcBorders>
              <w:top w:val="nil"/>
              <w:left w:val="nil"/>
              <w:bottom w:val="single" w:color="000000" w:sz="4" w:space="0"/>
              <w:right w:val="single" w:color="000000" w:sz="4" w:space="0"/>
            </w:tcBorders>
            <w:noWrap/>
            <w:vAlign w:val="center"/>
          </w:tcPr>
          <w:p w14:paraId="11A8C5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184.55</w:t>
            </w:r>
          </w:p>
        </w:tc>
        <w:tc>
          <w:tcPr>
            <w:tcW w:w="534" w:type="pct"/>
            <w:tcBorders>
              <w:top w:val="nil"/>
              <w:left w:val="nil"/>
              <w:bottom w:val="single" w:color="000000" w:sz="4" w:space="0"/>
              <w:right w:val="single" w:color="000000" w:sz="4" w:space="0"/>
            </w:tcBorders>
            <w:noWrap/>
            <w:vAlign w:val="center"/>
          </w:tcPr>
          <w:p w14:paraId="2FBAD3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184.55</w:t>
            </w:r>
          </w:p>
        </w:tc>
        <w:tc>
          <w:tcPr>
            <w:tcW w:w="602" w:type="pct"/>
            <w:tcBorders>
              <w:top w:val="nil"/>
              <w:left w:val="nil"/>
              <w:bottom w:val="single" w:color="000000" w:sz="4" w:space="0"/>
              <w:right w:val="single" w:color="000000" w:sz="4" w:space="0"/>
            </w:tcBorders>
            <w:noWrap/>
            <w:vAlign w:val="center"/>
          </w:tcPr>
          <w:p w14:paraId="401F6EF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D7640C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AE5753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901CB0F">
            <w:pPr>
              <w:jc w:val="right"/>
              <w:rPr>
                <w:rFonts w:hint="default" w:ascii="Times New Roman" w:hAnsi="Times New Roman" w:eastAsia="宋体" w:cs="Times New Roman"/>
                <w:i w:val="0"/>
                <w:iCs w:val="0"/>
                <w:color w:val="000000"/>
                <w:sz w:val="20"/>
                <w:szCs w:val="20"/>
                <w:highlight w:val="none"/>
                <w:u w:val="none"/>
              </w:rPr>
            </w:pPr>
          </w:p>
        </w:tc>
      </w:tr>
      <w:tr w14:paraId="48CA1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14" w:type="pct"/>
            <w:tcBorders>
              <w:top w:val="nil"/>
              <w:left w:val="single" w:color="000000" w:sz="4" w:space="0"/>
              <w:bottom w:val="single" w:color="000000" w:sz="4" w:space="0"/>
              <w:right w:val="single" w:color="000000" w:sz="4" w:space="0"/>
            </w:tcBorders>
            <w:noWrap/>
            <w:vAlign w:val="center"/>
          </w:tcPr>
          <w:p w14:paraId="1A8A676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821" w:type="pct"/>
            <w:tcBorders>
              <w:top w:val="nil"/>
              <w:left w:val="nil"/>
              <w:bottom w:val="single" w:color="000000" w:sz="4" w:space="0"/>
              <w:right w:val="single" w:color="000000" w:sz="4" w:space="0"/>
            </w:tcBorders>
            <w:noWrap/>
            <w:vAlign w:val="center"/>
          </w:tcPr>
          <w:p w14:paraId="35FCF14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525" w:type="pct"/>
            <w:tcBorders>
              <w:top w:val="nil"/>
              <w:left w:val="nil"/>
              <w:bottom w:val="single" w:color="000000" w:sz="4" w:space="0"/>
              <w:right w:val="single" w:color="000000" w:sz="4" w:space="0"/>
            </w:tcBorders>
            <w:noWrap/>
            <w:vAlign w:val="center"/>
          </w:tcPr>
          <w:p w14:paraId="11B44A4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118.01</w:t>
            </w:r>
          </w:p>
        </w:tc>
        <w:tc>
          <w:tcPr>
            <w:tcW w:w="534" w:type="pct"/>
            <w:tcBorders>
              <w:top w:val="nil"/>
              <w:left w:val="nil"/>
              <w:bottom w:val="single" w:color="000000" w:sz="4" w:space="0"/>
              <w:right w:val="single" w:color="000000" w:sz="4" w:space="0"/>
            </w:tcBorders>
            <w:noWrap/>
            <w:vAlign w:val="center"/>
          </w:tcPr>
          <w:p w14:paraId="234BA3A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118.01</w:t>
            </w:r>
          </w:p>
        </w:tc>
        <w:tc>
          <w:tcPr>
            <w:tcW w:w="602" w:type="pct"/>
            <w:tcBorders>
              <w:top w:val="nil"/>
              <w:left w:val="nil"/>
              <w:bottom w:val="single" w:color="000000" w:sz="4" w:space="0"/>
              <w:right w:val="single" w:color="000000" w:sz="4" w:space="0"/>
            </w:tcBorders>
            <w:noWrap/>
            <w:vAlign w:val="center"/>
          </w:tcPr>
          <w:p w14:paraId="3492822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619DFE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C2F19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D00CD1D">
            <w:pPr>
              <w:jc w:val="right"/>
              <w:rPr>
                <w:rFonts w:hint="default" w:ascii="Times New Roman" w:hAnsi="Times New Roman" w:eastAsia="宋体" w:cs="Times New Roman"/>
                <w:i w:val="0"/>
                <w:iCs w:val="0"/>
                <w:color w:val="000000"/>
                <w:sz w:val="20"/>
                <w:szCs w:val="20"/>
                <w:highlight w:val="none"/>
                <w:u w:val="none"/>
              </w:rPr>
            </w:pPr>
          </w:p>
        </w:tc>
      </w:tr>
      <w:tr w14:paraId="70C35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14" w:type="pct"/>
            <w:tcBorders>
              <w:top w:val="nil"/>
              <w:left w:val="single" w:color="000000" w:sz="4" w:space="0"/>
              <w:bottom w:val="single" w:color="000000" w:sz="4" w:space="0"/>
              <w:right w:val="single" w:color="000000" w:sz="4" w:space="0"/>
            </w:tcBorders>
            <w:noWrap/>
            <w:vAlign w:val="center"/>
          </w:tcPr>
          <w:p w14:paraId="12BF4AE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821" w:type="pct"/>
            <w:tcBorders>
              <w:top w:val="nil"/>
              <w:left w:val="nil"/>
              <w:bottom w:val="single" w:color="000000" w:sz="4" w:space="0"/>
              <w:right w:val="single" w:color="000000" w:sz="4" w:space="0"/>
            </w:tcBorders>
            <w:noWrap/>
            <w:vAlign w:val="center"/>
          </w:tcPr>
          <w:p w14:paraId="20F703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525" w:type="pct"/>
            <w:tcBorders>
              <w:top w:val="nil"/>
              <w:left w:val="nil"/>
              <w:bottom w:val="single" w:color="000000" w:sz="4" w:space="0"/>
              <w:right w:val="single" w:color="000000" w:sz="4" w:space="0"/>
            </w:tcBorders>
            <w:noWrap/>
            <w:vAlign w:val="center"/>
          </w:tcPr>
          <w:p w14:paraId="3F9F04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66.54</w:t>
            </w:r>
          </w:p>
        </w:tc>
        <w:tc>
          <w:tcPr>
            <w:tcW w:w="534" w:type="pct"/>
            <w:tcBorders>
              <w:top w:val="nil"/>
              <w:left w:val="nil"/>
              <w:bottom w:val="single" w:color="000000" w:sz="4" w:space="0"/>
              <w:right w:val="single" w:color="000000" w:sz="4" w:space="0"/>
            </w:tcBorders>
            <w:noWrap/>
            <w:vAlign w:val="center"/>
          </w:tcPr>
          <w:p w14:paraId="3A5760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66.54</w:t>
            </w:r>
          </w:p>
        </w:tc>
        <w:tc>
          <w:tcPr>
            <w:tcW w:w="602" w:type="pct"/>
            <w:tcBorders>
              <w:top w:val="nil"/>
              <w:left w:val="nil"/>
              <w:bottom w:val="single" w:color="000000" w:sz="4" w:space="0"/>
              <w:right w:val="single" w:color="000000" w:sz="4" w:space="0"/>
            </w:tcBorders>
            <w:noWrap/>
            <w:vAlign w:val="center"/>
          </w:tcPr>
          <w:p w14:paraId="3F39B012">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B5525B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725B60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AE631D4">
            <w:pPr>
              <w:jc w:val="right"/>
              <w:rPr>
                <w:rFonts w:hint="default" w:ascii="Times New Roman" w:hAnsi="Times New Roman" w:eastAsia="宋体" w:cs="Times New Roman"/>
                <w:i w:val="0"/>
                <w:iCs w:val="0"/>
                <w:color w:val="000000"/>
                <w:sz w:val="20"/>
                <w:szCs w:val="20"/>
                <w:highlight w:val="none"/>
                <w:u w:val="none"/>
              </w:rPr>
            </w:pPr>
          </w:p>
        </w:tc>
      </w:tr>
      <w:tr w14:paraId="78BC7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14" w:type="pct"/>
            <w:tcBorders>
              <w:top w:val="nil"/>
              <w:left w:val="single" w:color="000000" w:sz="4" w:space="0"/>
              <w:bottom w:val="single" w:color="000000" w:sz="4" w:space="0"/>
              <w:right w:val="single" w:color="000000" w:sz="4" w:space="0"/>
            </w:tcBorders>
            <w:noWrap/>
            <w:vAlign w:val="center"/>
          </w:tcPr>
          <w:p w14:paraId="35BCE78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w:t>
            </w:r>
          </w:p>
        </w:tc>
        <w:tc>
          <w:tcPr>
            <w:tcW w:w="821" w:type="pct"/>
            <w:tcBorders>
              <w:top w:val="nil"/>
              <w:left w:val="nil"/>
              <w:bottom w:val="single" w:color="000000" w:sz="4" w:space="0"/>
              <w:right w:val="single" w:color="000000" w:sz="4" w:space="0"/>
            </w:tcBorders>
            <w:noWrap/>
            <w:vAlign w:val="center"/>
          </w:tcPr>
          <w:p w14:paraId="420CB1C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残疾人事业</w:t>
            </w:r>
          </w:p>
        </w:tc>
        <w:tc>
          <w:tcPr>
            <w:tcW w:w="525" w:type="pct"/>
            <w:tcBorders>
              <w:top w:val="nil"/>
              <w:left w:val="nil"/>
              <w:bottom w:val="single" w:color="000000" w:sz="4" w:space="0"/>
              <w:right w:val="single" w:color="000000" w:sz="4" w:space="0"/>
            </w:tcBorders>
            <w:noWrap/>
            <w:vAlign w:val="center"/>
          </w:tcPr>
          <w:p w14:paraId="1DB04B2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4.93</w:t>
            </w:r>
          </w:p>
        </w:tc>
        <w:tc>
          <w:tcPr>
            <w:tcW w:w="534" w:type="pct"/>
            <w:tcBorders>
              <w:top w:val="nil"/>
              <w:left w:val="nil"/>
              <w:bottom w:val="single" w:color="000000" w:sz="4" w:space="0"/>
              <w:right w:val="single" w:color="000000" w:sz="4" w:space="0"/>
            </w:tcBorders>
            <w:noWrap/>
            <w:vAlign w:val="center"/>
          </w:tcPr>
          <w:p w14:paraId="1BA72B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4.93</w:t>
            </w:r>
          </w:p>
        </w:tc>
        <w:tc>
          <w:tcPr>
            <w:tcW w:w="602" w:type="pct"/>
            <w:tcBorders>
              <w:top w:val="nil"/>
              <w:left w:val="nil"/>
              <w:bottom w:val="single" w:color="000000" w:sz="4" w:space="0"/>
              <w:right w:val="single" w:color="000000" w:sz="4" w:space="0"/>
            </w:tcBorders>
            <w:noWrap/>
            <w:vAlign w:val="center"/>
          </w:tcPr>
          <w:p w14:paraId="0CC8A5EE">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24207A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5BBA28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C7454D3">
            <w:pPr>
              <w:jc w:val="right"/>
              <w:rPr>
                <w:rFonts w:hint="default" w:ascii="Times New Roman" w:hAnsi="Times New Roman" w:eastAsia="宋体" w:cs="Times New Roman"/>
                <w:i w:val="0"/>
                <w:iCs w:val="0"/>
                <w:color w:val="000000"/>
                <w:sz w:val="20"/>
                <w:szCs w:val="20"/>
                <w:highlight w:val="none"/>
                <w:u w:val="none"/>
              </w:rPr>
            </w:pPr>
          </w:p>
        </w:tc>
      </w:tr>
      <w:tr w14:paraId="5CAB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14" w:type="pct"/>
            <w:tcBorders>
              <w:top w:val="nil"/>
              <w:left w:val="single" w:color="000000" w:sz="4" w:space="0"/>
              <w:bottom w:val="single" w:color="000000" w:sz="4" w:space="0"/>
              <w:right w:val="single" w:color="000000" w:sz="4" w:space="0"/>
            </w:tcBorders>
            <w:noWrap/>
            <w:vAlign w:val="center"/>
          </w:tcPr>
          <w:p w14:paraId="1BAD212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2081101</w:t>
            </w:r>
          </w:p>
        </w:tc>
        <w:tc>
          <w:tcPr>
            <w:tcW w:w="821" w:type="pct"/>
            <w:tcBorders>
              <w:top w:val="nil"/>
              <w:left w:val="nil"/>
              <w:bottom w:val="single" w:color="000000" w:sz="4" w:space="0"/>
              <w:right w:val="single" w:color="000000" w:sz="4" w:space="0"/>
            </w:tcBorders>
            <w:noWrap/>
            <w:vAlign w:val="center"/>
          </w:tcPr>
          <w:p w14:paraId="5573283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525" w:type="pct"/>
            <w:tcBorders>
              <w:top w:val="nil"/>
              <w:left w:val="nil"/>
              <w:bottom w:val="single" w:color="000000" w:sz="4" w:space="0"/>
              <w:right w:val="single" w:color="000000" w:sz="4" w:space="0"/>
            </w:tcBorders>
            <w:noWrap/>
            <w:vAlign w:val="center"/>
          </w:tcPr>
          <w:p w14:paraId="47BAF8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4.93</w:t>
            </w:r>
          </w:p>
        </w:tc>
        <w:tc>
          <w:tcPr>
            <w:tcW w:w="534" w:type="pct"/>
            <w:tcBorders>
              <w:top w:val="nil"/>
              <w:left w:val="nil"/>
              <w:bottom w:val="single" w:color="000000" w:sz="4" w:space="0"/>
              <w:right w:val="single" w:color="000000" w:sz="4" w:space="0"/>
            </w:tcBorders>
            <w:noWrap/>
            <w:vAlign w:val="center"/>
          </w:tcPr>
          <w:p w14:paraId="13B9672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4.93</w:t>
            </w:r>
          </w:p>
        </w:tc>
        <w:tc>
          <w:tcPr>
            <w:tcW w:w="602" w:type="pct"/>
            <w:tcBorders>
              <w:top w:val="nil"/>
              <w:left w:val="nil"/>
              <w:bottom w:val="single" w:color="000000" w:sz="4" w:space="0"/>
              <w:right w:val="single" w:color="000000" w:sz="4" w:space="0"/>
            </w:tcBorders>
            <w:noWrap/>
            <w:vAlign w:val="center"/>
          </w:tcPr>
          <w:p w14:paraId="3A1318F7">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1E9A3D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70D98E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B3C3D95">
            <w:pPr>
              <w:jc w:val="right"/>
              <w:rPr>
                <w:rFonts w:hint="default" w:ascii="Times New Roman" w:hAnsi="Times New Roman" w:eastAsia="宋体" w:cs="Times New Roman"/>
                <w:i w:val="0"/>
                <w:iCs w:val="0"/>
                <w:color w:val="000000"/>
                <w:sz w:val="20"/>
                <w:szCs w:val="20"/>
                <w:highlight w:val="none"/>
                <w:u w:val="none"/>
              </w:rPr>
            </w:pPr>
          </w:p>
        </w:tc>
      </w:tr>
      <w:tr w14:paraId="73D5A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14" w:type="pct"/>
            <w:tcBorders>
              <w:top w:val="nil"/>
              <w:left w:val="single" w:color="000000" w:sz="4" w:space="0"/>
              <w:bottom w:val="single" w:color="000000" w:sz="4" w:space="0"/>
              <w:right w:val="single" w:color="000000" w:sz="4" w:space="0"/>
            </w:tcBorders>
            <w:noWrap/>
            <w:vAlign w:val="center"/>
          </w:tcPr>
          <w:p w14:paraId="666174B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821" w:type="pct"/>
            <w:tcBorders>
              <w:top w:val="nil"/>
              <w:left w:val="nil"/>
              <w:bottom w:val="single" w:color="000000" w:sz="4" w:space="0"/>
              <w:right w:val="single" w:color="000000" w:sz="4" w:space="0"/>
            </w:tcBorders>
            <w:noWrap/>
            <w:vAlign w:val="center"/>
          </w:tcPr>
          <w:p w14:paraId="421B1B2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525" w:type="pct"/>
            <w:tcBorders>
              <w:top w:val="nil"/>
              <w:left w:val="nil"/>
              <w:bottom w:val="single" w:color="000000" w:sz="4" w:space="0"/>
              <w:right w:val="single" w:color="000000" w:sz="4" w:space="0"/>
            </w:tcBorders>
            <w:noWrap/>
            <w:vAlign w:val="center"/>
          </w:tcPr>
          <w:p w14:paraId="48455C1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29.86</w:t>
            </w:r>
          </w:p>
        </w:tc>
        <w:tc>
          <w:tcPr>
            <w:tcW w:w="534" w:type="pct"/>
            <w:tcBorders>
              <w:top w:val="nil"/>
              <w:left w:val="nil"/>
              <w:bottom w:val="single" w:color="000000" w:sz="4" w:space="0"/>
              <w:right w:val="single" w:color="000000" w:sz="4" w:space="0"/>
            </w:tcBorders>
            <w:noWrap/>
            <w:vAlign w:val="center"/>
          </w:tcPr>
          <w:p w14:paraId="76B9BF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29.86</w:t>
            </w:r>
          </w:p>
        </w:tc>
        <w:tc>
          <w:tcPr>
            <w:tcW w:w="602" w:type="pct"/>
            <w:tcBorders>
              <w:top w:val="nil"/>
              <w:left w:val="nil"/>
              <w:bottom w:val="single" w:color="000000" w:sz="4" w:space="0"/>
              <w:right w:val="single" w:color="000000" w:sz="4" w:space="0"/>
            </w:tcBorders>
            <w:noWrap/>
            <w:vAlign w:val="center"/>
          </w:tcPr>
          <w:p w14:paraId="0BD6E227">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0F9C1D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791ADB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2A4D15C">
            <w:pPr>
              <w:jc w:val="right"/>
              <w:rPr>
                <w:rFonts w:hint="default" w:ascii="Times New Roman" w:hAnsi="Times New Roman" w:eastAsia="宋体" w:cs="Times New Roman"/>
                <w:i w:val="0"/>
                <w:iCs w:val="0"/>
                <w:color w:val="000000"/>
                <w:sz w:val="20"/>
                <w:szCs w:val="20"/>
                <w:highlight w:val="none"/>
                <w:u w:val="none"/>
              </w:rPr>
            </w:pPr>
          </w:p>
        </w:tc>
      </w:tr>
      <w:tr w14:paraId="12CD0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14" w:type="pct"/>
            <w:tcBorders>
              <w:top w:val="nil"/>
              <w:left w:val="single" w:color="000000" w:sz="4" w:space="0"/>
              <w:bottom w:val="single" w:color="000000" w:sz="4" w:space="0"/>
              <w:right w:val="single" w:color="000000" w:sz="4" w:space="0"/>
            </w:tcBorders>
            <w:noWrap/>
            <w:vAlign w:val="center"/>
          </w:tcPr>
          <w:p w14:paraId="52D0BE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821" w:type="pct"/>
            <w:tcBorders>
              <w:top w:val="nil"/>
              <w:left w:val="nil"/>
              <w:bottom w:val="single" w:color="000000" w:sz="4" w:space="0"/>
              <w:right w:val="single" w:color="000000" w:sz="4" w:space="0"/>
            </w:tcBorders>
            <w:noWrap/>
            <w:vAlign w:val="center"/>
          </w:tcPr>
          <w:p w14:paraId="64D7120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525" w:type="pct"/>
            <w:tcBorders>
              <w:top w:val="nil"/>
              <w:left w:val="nil"/>
              <w:bottom w:val="single" w:color="000000" w:sz="4" w:space="0"/>
              <w:right w:val="single" w:color="000000" w:sz="4" w:space="0"/>
            </w:tcBorders>
            <w:noWrap/>
            <w:vAlign w:val="center"/>
          </w:tcPr>
          <w:p w14:paraId="3942B8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29.86</w:t>
            </w:r>
          </w:p>
        </w:tc>
        <w:tc>
          <w:tcPr>
            <w:tcW w:w="534" w:type="pct"/>
            <w:tcBorders>
              <w:top w:val="nil"/>
              <w:left w:val="nil"/>
              <w:bottom w:val="single" w:color="000000" w:sz="4" w:space="0"/>
              <w:right w:val="single" w:color="000000" w:sz="4" w:space="0"/>
            </w:tcBorders>
            <w:noWrap/>
            <w:vAlign w:val="center"/>
          </w:tcPr>
          <w:p w14:paraId="130C4B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29.86</w:t>
            </w:r>
          </w:p>
        </w:tc>
        <w:tc>
          <w:tcPr>
            <w:tcW w:w="602" w:type="pct"/>
            <w:tcBorders>
              <w:top w:val="nil"/>
              <w:left w:val="nil"/>
              <w:bottom w:val="single" w:color="000000" w:sz="4" w:space="0"/>
              <w:right w:val="single" w:color="000000" w:sz="4" w:space="0"/>
            </w:tcBorders>
            <w:noWrap/>
            <w:vAlign w:val="center"/>
          </w:tcPr>
          <w:p w14:paraId="5636994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5BABA6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D2B819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F568327">
            <w:pPr>
              <w:jc w:val="right"/>
              <w:rPr>
                <w:rFonts w:hint="default" w:ascii="Times New Roman" w:hAnsi="Times New Roman" w:eastAsia="宋体" w:cs="Times New Roman"/>
                <w:i w:val="0"/>
                <w:iCs w:val="0"/>
                <w:color w:val="000000"/>
                <w:sz w:val="20"/>
                <w:szCs w:val="20"/>
                <w:highlight w:val="none"/>
                <w:u w:val="none"/>
              </w:rPr>
            </w:pPr>
          </w:p>
        </w:tc>
      </w:tr>
      <w:tr w14:paraId="492DE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14" w:type="pct"/>
            <w:tcBorders>
              <w:top w:val="nil"/>
              <w:left w:val="single" w:color="000000" w:sz="4" w:space="0"/>
              <w:bottom w:val="single" w:color="000000" w:sz="4" w:space="0"/>
              <w:right w:val="single" w:color="000000" w:sz="4" w:space="0"/>
            </w:tcBorders>
            <w:noWrap/>
            <w:vAlign w:val="center"/>
          </w:tcPr>
          <w:p w14:paraId="7A3374E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821" w:type="pct"/>
            <w:tcBorders>
              <w:top w:val="nil"/>
              <w:left w:val="nil"/>
              <w:bottom w:val="single" w:color="000000" w:sz="4" w:space="0"/>
              <w:right w:val="single" w:color="000000" w:sz="4" w:space="0"/>
            </w:tcBorders>
            <w:noWrap/>
            <w:vAlign w:val="center"/>
          </w:tcPr>
          <w:p w14:paraId="142CFD9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525" w:type="pct"/>
            <w:tcBorders>
              <w:top w:val="nil"/>
              <w:left w:val="nil"/>
              <w:bottom w:val="single" w:color="000000" w:sz="4" w:space="0"/>
              <w:right w:val="single" w:color="000000" w:sz="4" w:space="0"/>
            </w:tcBorders>
            <w:noWrap/>
            <w:vAlign w:val="center"/>
          </w:tcPr>
          <w:p w14:paraId="01D040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26.26</w:t>
            </w:r>
          </w:p>
        </w:tc>
        <w:tc>
          <w:tcPr>
            <w:tcW w:w="534" w:type="pct"/>
            <w:tcBorders>
              <w:top w:val="nil"/>
              <w:left w:val="nil"/>
              <w:bottom w:val="single" w:color="000000" w:sz="4" w:space="0"/>
              <w:right w:val="single" w:color="000000" w:sz="4" w:space="0"/>
            </w:tcBorders>
            <w:noWrap/>
            <w:vAlign w:val="center"/>
          </w:tcPr>
          <w:p w14:paraId="1E2F1A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26.26</w:t>
            </w:r>
          </w:p>
        </w:tc>
        <w:tc>
          <w:tcPr>
            <w:tcW w:w="602" w:type="pct"/>
            <w:tcBorders>
              <w:top w:val="nil"/>
              <w:left w:val="nil"/>
              <w:bottom w:val="single" w:color="000000" w:sz="4" w:space="0"/>
              <w:right w:val="single" w:color="000000" w:sz="4" w:space="0"/>
            </w:tcBorders>
            <w:noWrap/>
            <w:vAlign w:val="center"/>
          </w:tcPr>
          <w:p w14:paraId="7FCC98C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111629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BA9F40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4830C3D">
            <w:pPr>
              <w:jc w:val="right"/>
              <w:rPr>
                <w:rFonts w:hint="default" w:ascii="Times New Roman" w:hAnsi="Times New Roman" w:eastAsia="宋体" w:cs="Times New Roman"/>
                <w:i w:val="0"/>
                <w:iCs w:val="0"/>
                <w:color w:val="000000"/>
                <w:sz w:val="20"/>
                <w:szCs w:val="20"/>
                <w:highlight w:val="none"/>
                <w:u w:val="none"/>
              </w:rPr>
            </w:pPr>
          </w:p>
        </w:tc>
      </w:tr>
      <w:tr w14:paraId="45852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14" w:type="pct"/>
            <w:tcBorders>
              <w:top w:val="nil"/>
              <w:left w:val="single" w:color="000000" w:sz="4" w:space="0"/>
              <w:bottom w:val="single" w:color="000000" w:sz="4" w:space="0"/>
              <w:right w:val="single" w:color="000000" w:sz="4" w:space="0"/>
            </w:tcBorders>
            <w:noWrap/>
            <w:vAlign w:val="center"/>
          </w:tcPr>
          <w:p w14:paraId="0409EF4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821" w:type="pct"/>
            <w:tcBorders>
              <w:top w:val="nil"/>
              <w:left w:val="nil"/>
              <w:bottom w:val="single" w:color="000000" w:sz="4" w:space="0"/>
              <w:right w:val="single" w:color="000000" w:sz="4" w:space="0"/>
            </w:tcBorders>
            <w:noWrap/>
            <w:vAlign w:val="center"/>
          </w:tcPr>
          <w:p w14:paraId="2D14FAA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525" w:type="pct"/>
            <w:tcBorders>
              <w:top w:val="nil"/>
              <w:left w:val="nil"/>
              <w:bottom w:val="single" w:color="000000" w:sz="4" w:space="0"/>
              <w:right w:val="single" w:color="000000" w:sz="4" w:space="0"/>
            </w:tcBorders>
            <w:noWrap/>
            <w:vAlign w:val="center"/>
          </w:tcPr>
          <w:p w14:paraId="1D8902D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3.60</w:t>
            </w:r>
          </w:p>
        </w:tc>
        <w:tc>
          <w:tcPr>
            <w:tcW w:w="534" w:type="pct"/>
            <w:tcBorders>
              <w:top w:val="nil"/>
              <w:left w:val="nil"/>
              <w:bottom w:val="single" w:color="000000" w:sz="4" w:space="0"/>
              <w:right w:val="single" w:color="000000" w:sz="4" w:space="0"/>
            </w:tcBorders>
            <w:noWrap/>
            <w:vAlign w:val="center"/>
          </w:tcPr>
          <w:p w14:paraId="434376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3.60</w:t>
            </w:r>
          </w:p>
        </w:tc>
        <w:tc>
          <w:tcPr>
            <w:tcW w:w="602" w:type="pct"/>
            <w:tcBorders>
              <w:top w:val="nil"/>
              <w:left w:val="nil"/>
              <w:bottom w:val="single" w:color="000000" w:sz="4" w:space="0"/>
              <w:right w:val="single" w:color="000000" w:sz="4" w:space="0"/>
            </w:tcBorders>
            <w:noWrap/>
            <w:vAlign w:val="center"/>
          </w:tcPr>
          <w:p w14:paraId="463FF90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58B02A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A8D252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44C11DC">
            <w:pPr>
              <w:jc w:val="right"/>
              <w:rPr>
                <w:rFonts w:hint="default" w:ascii="Times New Roman" w:hAnsi="Times New Roman" w:eastAsia="宋体" w:cs="Times New Roman"/>
                <w:i w:val="0"/>
                <w:iCs w:val="0"/>
                <w:color w:val="000000"/>
                <w:sz w:val="20"/>
                <w:szCs w:val="20"/>
                <w:highlight w:val="none"/>
                <w:u w:val="none"/>
              </w:rPr>
            </w:pPr>
          </w:p>
        </w:tc>
      </w:tr>
      <w:tr w14:paraId="67533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14" w:type="pct"/>
            <w:tcBorders>
              <w:top w:val="nil"/>
              <w:left w:val="single" w:color="000000" w:sz="4" w:space="0"/>
              <w:bottom w:val="single" w:color="000000" w:sz="4" w:space="0"/>
              <w:right w:val="single" w:color="000000" w:sz="4" w:space="0"/>
            </w:tcBorders>
            <w:noWrap/>
            <w:vAlign w:val="center"/>
          </w:tcPr>
          <w:p w14:paraId="53AEA10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821" w:type="pct"/>
            <w:tcBorders>
              <w:top w:val="nil"/>
              <w:left w:val="nil"/>
              <w:bottom w:val="single" w:color="000000" w:sz="4" w:space="0"/>
              <w:right w:val="single" w:color="000000" w:sz="4" w:space="0"/>
            </w:tcBorders>
            <w:noWrap/>
            <w:vAlign w:val="center"/>
          </w:tcPr>
          <w:p w14:paraId="0F886D9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525" w:type="pct"/>
            <w:tcBorders>
              <w:top w:val="nil"/>
              <w:left w:val="nil"/>
              <w:bottom w:val="single" w:color="000000" w:sz="4" w:space="0"/>
              <w:right w:val="single" w:color="000000" w:sz="4" w:space="0"/>
            </w:tcBorders>
            <w:noWrap/>
            <w:vAlign w:val="center"/>
          </w:tcPr>
          <w:p w14:paraId="029567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51.80</w:t>
            </w:r>
          </w:p>
        </w:tc>
        <w:tc>
          <w:tcPr>
            <w:tcW w:w="534" w:type="pct"/>
            <w:tcBorders>
              <w:top w:val="nil"/>
              <w:left w:val="nil"/>
              <w:bottom w:val="single" w:color="000000" w:sz="4" w:space="0"/>
              <w:right w:val="single" w:color="000000" w:sz="4" w:space="0"/>
            </w:tcBorders>
            <w:noWrap/>
            <w:vAlign w:val="center"/>
          </w:tcPr>
          <w:p w14:paraId="0D3AA6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51.80</w:t>
            </w:r>
          </w:p>
        </w:tc>
        <w:tc>
          <w:tcPr>
            <w:tcW w:w="602" w:type="pct"/>
            <w:tcBorders>
              <w:top w:val="nil"/>
              <w:left w:val="nil"/>
              <w:bottom w:val="single" w:color="000000" w:sz="4" w:space="0"/>
              <w:right w:val="single" w:color="000000" w:sz="4" w:space="0"/>
            </w:tcBorders>
            <w:noWrap/>
            <w:vAlign w:val="center"/>
          </w:tcPr>
          <w:p w14:paraId="60A4D62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A9BA1D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9D5B44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6F31E26">
            <w:pPr>
              <w:jc w:val="right"/>
              <w:rPr>
                <w:rFonts w:hint="default" w:ascii="Times New Roman" w:hAnsi="Times New Roman" w:eastAsia="宋体" w:cs="Times New Roman"/>
                <w:i w:val="0"/>
                <w:iCs w:val="0"/>
                <w:color w:val="000000"/>
                <w:sz w:val="20"/>
                <w:szCs w:val="20"/>
                <w:highlight w:val="none"/>
                <w:u w:val="none"/>
              </w:rPr>
            </w:pPr>
          </w:p>
        </w:tc>
      </w:tr>
      <w:tr w14:paraId="541F7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14" w:type="pct"/>
            <w:tcBorders>
              <w:top w:val="nil"/>
              <w:left w:val="single" w:color="000000" w:sz="4" w:space="0"/>
              <w:bottom w:val="single" w:color="000000" w:sz="4" w:space="0"/>
              <w:right w:val="single" w:color="000000" w:sz="4" w:space="0"/>
            </w:tcBorders>
            <w:noWrap/>
            <w:vAlign w:val="center"/>
          </w:tcPr>
          <w:p w14:paraId="6BE9E98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821" w:type="pct"/>
            <w:tcBorders>
              <w:top w:val="nil"/>
              <w:left w:val="nil"/>
              <w:bottom w:val="single" w:color="000000" w:sz="4" w:space="0"/>
              <w:right w:val="single" w:color="000000" w:sz="4" w:space="0"/>
            </w:tcBorders>
            <w:noWrap/>
            <w:vAlign w:val="center"/>
          </w:tcPr>
          <w:p w14:paraId="5ADE608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525" w:type="pct"/>
            <w:tcBorders>
              <w:top w:val="nil"/>
              <w:left w:val="nil"/>
              <w:bottom w:val="single" w:color="000000" w:sz="4" w:space="0"/>
              <w:right w:val="single" w:color="000000" w:sz="4" w:space="0"/>
            </w:tcBorders>
            <w:noWrap/>
            <w:vAlign w:val="center"/>
          </w:tcPr>
          <w:p w14:paraId="16AC12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51.80</w:t>
            </w:r>
          </w:p>
        </w:tc>
        <w:tc>
          <w:tcPr>
            <w:tcW w:w="534" w:type="pct"/>
            <w:tcBorders>
              <w:top w:val="nil"/>
              <w:left w:val="nil"/>
              <w:bottom w:val="single" w:color="000000" w:sz="4" w:space="0"/>
              <w:right w:val="single" w:color="000000" w:sz="4" w:space="0"/>
            </w:tcBorders>
            <w:noWrap/>
            <w:vAlign w:val="center"/>
          </w:tcPr>
          <w:p w14:paraId="3CF9B4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51.80</w:t>
            </w:r>
          </w:p>
        </w:tc>
        <w:tc>
          <w:tcPr>
            <w:tcW w:w="602" w:type="pct"/>
            <w:tcBorders>
              <w:top w:val="nil"/>
              <w:left w:val="nil"/>
              <w:bottom w:val="single" w:color="000000" w:sz="4" w:space="0"/>
              <w:right w:val="single" w:color="000000" w:sz="4" w:space="0"/>
            </w:tcBorders>
            <w:noWrap/>
            <w:vAlign w:val="center"/>
          </w:tcPr>
          <w:p w14:paraId="6FD2AF3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315456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CC5417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95DB896">
            <w:pPr>
              <w:jc w:val="right"/>
              <w:rPr>
                <w:rFonts w:hint="default" w:ascii="Times New Roman" w:hAnsi="Times New Roman" w:eastAsia="宋体" w:cs="Times New Roman"/>
                <w:i w:val="0"/>
                <w:iCs w:val="0"/>
                <w:color w:val="000000"/>
                <w:sz w:val="20"/>
                <w:szCs w:val="20"/>
                <w:highlight w:val="none"/>
                <w:u w:val="none"/>
              </w:rPr>
            </w:pPr>
          </w:p>
        </w:tc>
      </w:tr>
      <w:tr w14:paraId="4860D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14" w:type="pct"/>
            <w:tcBorders>
              <w:top w:val="nil"/>
              <w:left w:val="single" w:color="000000" w:sz="4" w:space="0"/>
              <w:bottom w:val="single" w:color="000000" w:sz="4" w:space="0"/>
              <w:right w:val="single" w:color="000000" w:sz="4" w:space="0"/>
            </w:tcBorders>
            <w:noWrap/>
            <w:vAlign w:val="center"/>
          </w:tcPr>
          <w:p w14:paraId="6B4E7E4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821" w:type="pct"/>
            <w:tcBorders>
              <w:top w:val="nil"/>
              <w:left w:val="nil"/>
              <w:bottom w:val="single" w:color="000000" w:sz="4" w:space="0"/>
              <w:right w:val="single" w:color="000000" w:sz="4" w:space="0"/>
            </w:tcBorders>
            <w:noWrap/>
            <w:vAlign w:val="center"/>
          </w:tcPr>
          <w:p w14:paraId="2FA287C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525" w:type="pct"/>
            <w:tcBorders>
              <w:top w:val="nil"/>
              <w:left w:val="nil"/>
              <w:bottom w:val="single" w:color="000000" w:sz="4" w:space="0"/>
              <w:right w:val="single" w:color="000000" w:sz="4" w:space="0"/>
            </w:tcBorders>
            <w:noWrap/>
            <w:vAlign w:val="center"/>
          </w:tcPr>
          <w:p w14:paraId="375E83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51.80</w:t>
            </w:r>
          </w:p>
        </w:tc>
        <w:tc>
          <w:tcPr>
            <w:tcW w:w="534" w:type="pct"/>
            <w:tcBorders>
              <w:top w:val="nil"/>
              <w:left w:val="nil"/>
              <w:bottom w:val="single" w:color="000000" w:sz="4" w:space="0"/>
              <w:right w:val="single" w:color="000000" w:sz="4" w:space="0"/>
            </w:tcBorders>
            <w:noWrap/>
            <w:vAlign w:val="center"/>
          </w:tcPr>
          <w:p w14:paraId="2956737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51.80</w:t>
            </w:r>
          </w:p>
        </w:tc>
        <w:tc>
          <w:tcPr>
            <w:tcW w:w="602" w:type="pct"/>
            <w:tcBorders>
              <w:top w:val="nil"/>
              <w:left w:val="nil"/>
              <w:bottom w:val="single" w:color="000000" w:sz="4" w:space="0"/>
              <w:right w:val="single" w:color="000000" w:sz="4" w:space="0"/>
            </w:tcBorders>
            <w:noWrap/>
            <w:vAlign w:val="center"/>
          </w:tcPr>
          <w:p w14:paraId="7A466486">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1473C7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7BA175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76F492E">
            <w:pPr>
              <w:jc w:val="right"/>
              <w:rPr>
                <w:rFonts w:hint="default" w:ascii="Times New Roman" w:hAnsi="Times New Roman" w:eastAsia="宋体" w:cs="Times New Roman"/>
                <w:i w:val="0"/>
                <w:iCs w:val="0"/>
                <w:color w:val="000000"/>
                <w:sz w:val="20"/>
                <w:szCs w:val="20"/>
                <w:highlight w:val="none"/>
                <w:u w:val="none"/>
              </w:rPr>
            </w:pP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9"/>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37D910D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2ABE95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编制部门（单位）：平泉市人民检察院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1,268.27</w:t>
            </w:r>
          </w:p>
        </w:tc>
        <w:tc>
          <w:tcPr>
            <w:tcW w:w="895"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997.13</w:t>
            </w:r>
          </w:p>
        </w:tc>
        <w:tc>
          <w:tcPr>
            <w:tcW w:w="520"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997.13</w:t>
            </w:r>
          </w:p>
        </w:tc>
        <w:tc>
          <w:tcPr>
            <w:tcW w:w="520"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189.48</w:t>
            </w:r>
          </w:p>
        </w:tc>
        <w:tc>
          <w:tcPr>
            <w:tcW w:w="520"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189.48</w:t>
            </w:r>
          </w:p>
        </w:tc>
        <w:tc>
          <w:tcPr>
            <w:tcW w:w="520"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29.86</w:t>
            </w:r>
          </w:p>
        </w:tc>
        <w:tc>
          <w:tcPr>
            <w:tcW w:w="520"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29.86</w:t>
            </w:r>
          </w:p>
        </w:tc>
        <w:tc>
          <w:tcPr>
            <w:tcW w:w="520"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51.80</w:t>
            </w:r>
          </w:p>
        </w:tc>
        <w:tc>
          <w:tcPr>
            <w:tcW w:w="520"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51.80</w:t>
            </w:r>
          </w:p>
        </w:tc>
        <w:tc>
          <w:tcPr>
            <w:tcW w:w="520"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1,268.27</w:t>
            </w:r>
          </w:p>
        </w:tc>
        <w:tc>
          <w:tcPr>
            <w:tcW w:w="895"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1,268.27</w:t>
            </w:r>
          </w:p>
        </w:tc>
        <w:tc>
          <w:tcPr>
            <w:tcW w:w="520"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1,268.27</w:t>
            </w:r>
          </w:p>
        </w:tc>
        <w:tc>
          <w:tcPr>
            <w:tcW w:w="520"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872D93E">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1,268.27</w:t>
            </w:r>
          </w:p>
        </w:tc>
        <w:tc>
          <w:tcPr>
            <w:tcW w:w="895"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1,268.27</w:t>
            </w:r>
          </w:p>
        </w:tc>
        <w:tc>
          <w:tcPr>
            <w:tcW w:w="520"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1,268.27</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1463D42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7E897D9B">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2"/>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0"/>
        <w:gridCol w:w="3416"/>
        <w:gridCol w:w="322"/>
        <w:gridCol w:w="982"/>
        <w:gridCol w:w="1037"/>
        <w:gridCol w:w="383"/>
        <w:gridCol w:w="1712"/>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编制部门（单位）：平泉市人民检察院</w:t>
            </w:r>
          </w:p>
        </w:tc>
        <w:tc>
          <w:tcPr>
            <w:tcW w:w="1551"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1,268.27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1,027.58</w:t>
            </w:r>
          </w:p>
        </w:tc>
        <w:tc>
          <w:tcPr>
            <w:tcW w:w="1213"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240.69</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w:t>
            </w:r>
          </w:p>
        </w:tc>
        <w:tc>
          <w:tcPr>
            <w:tcW w:w="748"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公共安全支出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997.13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756.43</w:t>
            </w:r>
          </w:p>
        </w:tc>
        <w:tc>
          <w:tcPr>
            <w:tcW w:w="1213"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240.69</w:t>
            </w:r>
          </w:p>
        </w:tc>
      </w:tr>
      <w:tr w14:paraId="7DEDA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AF296A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w:t>
            </w:r>
          </w:p>
        </w:tc>
        <w:tc>
          <w:tcPr>
            <w:tcW w:w="748" w:type="pct"/>
            <w:tcBorders>
              <w:top w:val="single" w:color="auto" w:sz="4" w:space="0"/>
              <w:left w:val="single" w:color="auto" w:sz="4" w:space="0"/>
              <w:bottom w:val="single" w:color="auto" w:sz="4" w:space="0"/>
              <w:right w:val="single" w:color="auto" w:sz="4" w:space="0"/>
            </w:tcBorders>
            <w:noWrap/>
            <w:vAlign w:val="center"/>
          </w:tcPr>
          <w:p w14:paraId="4718379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检察</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8BB0D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997.13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CE52F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756.43</w:t>
            </w:r>
          </w:p>
        </w:tc>
        <w:tc>
          <w:tcPr>
            <w:tcW w:w="1213" w:type="pct"/>
            <w:tcBorders>
              <w:top w:val="single" w:color="auto" w:sz="4" w:space="0"/>
              <w:left w:val="single" w:color="auto" w:sz="4" w:space="0"/>
              <w:bottom w:val="single" w:color="auto" w:sz="4" w:space="0"/>
              <w:right w:val="single" w:color="auto" w:sz="4" w:space="0"/>
            </w:tcBorders>
            <w:noWrap/>
            <w:vAlign w:val="center"/>
          </w:tcPr>
          <w:p w14:paraId="3D009B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240.69</w:t>
            </w:r>
          </w:p>
        </w:tc>
      </w:tr>
      <w:tr w14:paraId="03DDB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71AD59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2040401</w:t>
            </w:r>
          </w:p>
        </w:tc>
        <w:tc>
          <w:tcPr>
            <w:tcW w:w="748" w:type="pct"/>
            <w:tcBorders>
              <w:top w:val="single" w:color="auto" w:sz="4" w:space="0"/>
              <w:left w:val="single" w:color="auto" w:sz="4" w:space="0"/>
              <w:bottom w:val="single" w:color="auto" w:sz="4" w:space="0"/>
              <w:right w:val="single" w:color="auto" w:sz="4" w:space="0"/>
            </w:tcBorders>
            <w:noWrap/>
            <w:vAlign w:val="center"/>
          </w:tcPr>
          <w:p w14:paraId="469738E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95478C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756.43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013A2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756.43</w:t>
            </w:r>
          </w:p>
        </w:tc>
        <w:tc>
          <w:tcPr>
            <w:tcW w:w="1213" w:type="pct"/>
            <w:tcBorders>
              <w:top w:val="single" w:color="auto" w:sz="4" w:space="0"/>
              <w:left w:val="single" w:color="auto" w:sz="4" w:space="0"/>
              <w:bottom w:val="single" w:color="auto" w:sz="4" w:space="0"/>
              <w:right w:val="single" w:color="auto" w:sz="4" w:space="0"/>
            </w:tcBorders>
            <w:noWrap/>
            <w:vAlign w:val="center"/>
          </w:tcPr>
          <w:p w14:paraId="7BF5D09D">
            <w:pPr>
              <w:jc w:val="right"/>
              <w:rPr>
                <w:rFonts w:hint="default" w:ascii="Times New Roman" w:hAnsi="Times New Roman" w:eastAsia="宋体" w:cs="Times New Roman"/>
                <w:i w:val="0"/>
                <w:iCs w:val="0"/>
                <w:color w:val="000000"/>
                <w:sz w:val="20"/>
                <w:szCs w:val="20"/>
                <w:highlight w:val="none"/>
                <w:u w:val="none"/>
              </w:rPr>
            </w:pPr>
          </w:p>
        </w:tc>
      </w:tr>
      <w:tr w14:paraId="7AD8A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C97F71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2040402</w:t>
            </w:r>
          </w:p>
        </w:tc>
        <w:tc>
          <w:tcPr>
            <w:tcW w:w="748" w:type="pct"/>
            <w:tcBorders>
              <w:top w:val="single" w:color="auto" w:sz="4" w:space="0"/>
              <w:left w:val="single" w:color="auto" w:sz="4" w:space="0"/>
              <w:bottom w:val="single" w:color="auto" w:sz="4" w:space="0"/>
              <w:right w:val="single" w:color="auto" w:sz="4" w:space="0"/>
            </w:tcBorders>
            <w:noWrap/>
            <w:vAlign w:val="center"/>
          </w:tcPr>
          <w:p w14:paraId="31E4362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087C2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101.34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0C73F50">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5457BB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101.34</w:t>
            </w:r>
          </w:p>
        </w:tc>
      </w:tr>
      <w:tr w14:paraId="2027C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CD28B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2040410</w:t>
            </w:r>
          </w:p>
        </w:tc>
        <w:tc>
          <w:tcPr>
            <w:tcW w:w="748" w:type="pct"/>
            <w:tcBorders>
              <w:top w:val="single" w:color="auto" w:sz="4" w:space="0"/>
              <w:left w:val="single" w:color="auto" w:sz="4" w:space="0"/>
              <w:bottom w:val="single" w:color="auto" w:sz="4" w:space="0"/>
              <w:right w:val="single" w:color="auto" w:sz="4" w:space="0"/>
            </w:tcBorders>
            <w:noWrap/>
            <w:vAlign w:val="center"/>
          </w:tcPr>
          <w:p w14:paraId="31590E8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检察监督</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2875A5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139.35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63AEC44">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7148DC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139.35</w:t>
            </w:r>
          </w:p>
        </w:tc>
      </w:tr>
      <w:tr w14:paraId="7C709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4B4426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14:paraId="121651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D9D25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189.48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E271A2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189.48</w:t>
            </w:r>
          </w:p>
        </w:tc>
        <w:tc>
          <w:tcPr>
            <w:tcW w:w="1213" w:type="pct"/>
            <w:tcBorders>
              <w:top w:val="single" w:color="auto" w:sz="4" w:space="0"/>
              <w:left w:val="single" w:color="auto" w:sz="4" w:space="0"/>
              <w:bottom w:val="single" w:color="auto" w:sz="4" w:space="0"/>
              <w:right w:val="single" w:color="auto" w:sz="4" w:space="0"/>
            </w:tcBorders>
            <w:noWrap/>
            <w:vAlign w:val="center"/>
          </w:tcPr>
          <w:p w14:paraId="0FE7E8FA">
            <w:pPr>
              <w:jc w:val="right"/>
              <w:rPr>
                <w:rFonts w:hint="default" w:ascii="Times New Roman" w:hAnsi="Times New Roman" w:eastAsia="宋体" w:cs="Times New Roman"/>
                <w:i w:val="0"/>
                <w:iCs w:val="0"/>
                <w:color w:val="000000"/>
                <w:sz w:val="20"/>
                <w:szCs w:val="20"/>
                <w:highlight w:val="none"/>
                <w:u w:val="none"/>
              </w:rPr>
            </w:pPr>
          </w:p>
        </w:tc>
      </w:tr>
      <w:tr w14:paraId="73868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B0B677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14:paraId="2FD8858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DF411A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184.55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810CF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184.55</w:t>
            </w:r>
          </w:p>
        </w:tc>
        <w:tc>
          <w:tcPr>
            <w:tcW w:w="1213" w:type="pct"/>
            <w:tcBorders>
              <w:top w:val="single" w:color="auto" w:sz="4" w:space="0"/>
              <w:left w:val="single" w:color="auto" w:sz="4" w:space="0"/>
              <w:bottom w:val="single" w:color="auto" w:sz="4" w:space="0"/>
              <w:right w:val="single" w:color="auto" w:sz="4" w:space="0"/>
            </w:tcBorders>
            <w:noWrap/>
            <w:vAlign w:val="center"/>
          </w:tcPr>
          <w:p w14:paraId="4FBCEE01">
            <w:pPr>
              <w:jc w:val="right"/>
              <w:rPr>
                <w:rFonts w:hint="default" w:ascii="Times New Roman" w:hAnsi="Times New Roman" w:eastAsia="宋体" w:cs="Times New Roman"/>
                <w:i w:val="0"/>
                <w:iCs w:val="0"/>
                <w:color w:val="000000"/>
                <w:sz w:val="20"/>
                <w:szCs w:val="20"/>
                <w:highlight w:val="none"/>
                <w:u w:val="none"/>
              </w:rPr>
            </w:pPr>
          </w:p>
        </w:tc>
      </w:tr>
      <w:tr w14:paraId="6BDFB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F11D2F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748" w:type="pct"/>
            <w:tcBorders>
              <w:top w:val="single" w:color="auto" w:sz="4" w:space="0"/>
              <w:left w:val="single" w:color="auto" w:sz="4" w:space="0"/>
              <w:bottom w:val="single" w:color="auto" w:sz="4" w:space="0"/>
              <w:right w:val="single" w:color="auto" w:sz="4" w:space="0"/>
            </w:tcBorders>
            <w:noWrap/>
            <w:vAlign w:val="center"/>
          </w:tcPr>
          <w:p w14:paraId="2B328A5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39BAF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118.01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2171E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118.01</w:t>
            </w:r>
          </w:p>
        </w:tc>
        <w:tc>
          <w:tcPr>
            <w:tcW w:w="1213" w:type="pct"/>
            <w:tcBorders>
              <w:top w:val="single" w:color="auto" w:sz="4" w:space="0"/>
              <w:left w:val="single" w:color="auto" w:sz="4" w:space="0"/>
              <w:bottom w:val="single" w:color="auto" w:sz="4" w:space="0"/>
              <w:right w:val="single" w:color="auto" w:sz="4" w:space="0"/>
            </w:tcBorders>
            <w:noWrap/>
            <w:vAlign w:val="center"/>
          </w:tcPr>
          <w:p w14:paraId="604B6769">
            <w:pPr>
              <w:jc w:val="right"/>
              <w:rPr>
                <w:rFonts w:hint="default" w:ascii="Times New Roman" w:hAnsi="Times New Roman" w:eastAsia="宋体" w:cs="Times New Roman"/>
                <w:i w:val="0"/>
                <w:iCs w:val="0"/>
                <w:color w:val="000000"/>
                <w:sz w:val="20"/>
                <w:szCs w:val="20"/>
                <w:highlight w:val="none"/>
                <w:u w:val="none"/>
              </w:rPr>
            </w:pPr>
          </w:p>
        </w:tc>
      </w:tr>
      <w:tr w14:paraId="1CD04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1FE5EC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14:paraId="38E8746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2E60DB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66.54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C00B4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66.54</w:t>
            </w:r>
          </w:p>
        </w:tc>
        <w:tc>
          <w:tcPr>
            <w:tcW w:w="1213" w:type="pct"/>
            <w:tcBorders>
              <w:top w:val="single" w:color="auto" w:sz="4" w:space="0"/>
              <w:left w:val="single" w:color="auto" w:sz="4" w:space="0"/>
              <w:bottom w:val="single" w:color="auto" w:sz="4" w:space="0"/>
              <w:right w:val="single" w:color="auto" w:sz="4" w:space="0"/>
            </w:tcBorders>
            <w:noWrap/>
            <w:vAlign w:val="center"/>
          </w:tcPr>
          <w:p w14:paraId="51DD2C3E">
            <w:pPr>
              <w:jc w:val="right"/>
              <w:rPr>
                <w:rFonts w:hint="default" w:ascii="Times New Roman" w:hAnsi="Times New Roman" w:eastAsia="宋体" w:cs="Times New Roman"/>
                <w:i w:val="0"/>
                <w:iCs w:val="0"/>
                <w:color w:val="000000"/>
                <w:sz w:val="20"/>
                <w:szCs w:val="20"/>
                <w:highlight w:val="none"/>
                <w:u w:val="none"/>
              </w:rPr>
            </w:pPr>
          </w:p>
        </w:tc>
      </w:tr>
      <w:tr w14:paraId="6517F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0F38A9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w:t>
            </w:r>
          </w:p>
        </w:tc>
        <w:tc>
          <w:tcPr>
            <w:tcW w:w="748" w:type="pct"/>
            <w:tcBorders>
              <w:top w:val="single" w:color="auto" w:sz="4" w:space="0"/>
              <w:left w:val="single" w:color="auto" w:sz="4" w:space="0"/>
              <w:bottom w:val="single" w:color="auto" w:sz="4" w:space="0"/>
              <w:right w:val="single" w:color="auto" w:sz="4" w:space="0"/>
            </w:tcBorders>
            <w:noWrap/>
            <w:vAlign w:val="center"/>
          </w:tcPr>
          <w:p w14:paraId="501639D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残疾人事业</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332632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C2126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4.93</w:t>
            </w:r>
          </w:p>
        </w:tc>
        <w:tc>
          <w:tcPr>
            <w:tcW w:w="1213" w:type="pct"/>
            <w:tcBorders>
              <w:top w:val="single" w:color="auto" w:sz="4" w:space="0"/>
              <w:left w:val="single" w:color="auto" w:sz="4" w:space="0"/>
              <w:bottom w:val="single" w:color="auto" w:sz="4" w:space="0"/>
              <w:right w:val="single" w:color="auto" w:sz="4" w:space="0"/>
            </w:tcBorders>
            <w:noWrap/>
            <w:vAlign w:val="center"/>
          </w:tcPr>
          <w:p w14:paraId="124A2E0B">
            <w:pPr>
              <w:jc w:val="right"/>
              <w:rPr>
                <w:rFonts w:hint="default" w:ascii="Times New Roman" w:hAnsi="Times New Roman" w:eastAsia="宋体" w:cs="Times New Roman"/>
                <w:i w:val="0"/>
                <w:iCs w:val="0"/>
                <w:color w:val="000000"/>
                <w:sz w:val="20"/>
                <w:szCs w:val="20"/>
                <w:highlight w:val="none"/>
                <w:u w:val="none"/>
              </w:rPr>
            </w:pPr>
          </w:p>
        </w:tc>
      </w:tr>
      <w:tr w14:paraId="69F9A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DE0703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2081101</w:t>
            </w:r>
          </w:p>
        </w:tc>
        <w:tc>
          <w:tcPr>
            <w:tcW w:w="748" w:type="pct"/>
            <w:tcBorders>
              <w:top w:val="single" w:color="auto" w:sz="4" w:space="0"/>
              <w:left w:val="single" w:color="auto" w:sz="4" w:space="0"/>
              <w:bottom w:val="single" w:color="auto" w:sz="4" w:space="0"/>
              <w:right w:val="single" w:color="auto" w:sz="4" w:space="0"/>
            </w:tcBorders>
            <w:noWrap/>
            <w:vAlign w:val="center"/>
          </w:tcPr>
          <w:p w14:paraId="7F849C8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225DC6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79ED3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4.93</w:t>
            </w:r>
          </w:p>
        </w:tc>
        <w:tc>
          <w:tcPr>
            <w:tcW w:w="1213" w:type="pct"/>
            <w:tcBorders>
              <w:top w:val="single" w:color="auto" w:sz="4" w:space="0"/>
              <w:left w:val="single" w:color="auto" w:sz="4" w:space="0"/>
              <w:bottom w:val="single" w:color="auto" w:sz="4" w:space="0"/>
              <w:right w:val="single" w:color="auto" w:sz="4" w:space="0"/>
            </w:tcBorders>
            <w:noWrap/>
            <w:vAlign w:val="center"/>
          </w:tcPr>
          <w:p w14:paraId="0A3F0B27">
            <w:pPr>
              <w:jc w:val="right"/>
              <w:rPr>
                <w:rFonts w:hint="default" w:ascii="Times New Roman" w:hAnsi="Times New Roman" w:eastAsia="宋体" w:cs="Times New Roman"/>
                <w:i w:val="0"/>
                <w:iCs w:val="0"/>
                <w:color w:val="000000"/>
                <w:sz w:val="20"/>
                <w:szCs w:val="20"/>
                <w:highlight w:val="none"/>
                <w:u w:val="none"/>
              </w:rPr>
            </w:pPr>
          </w:p>
        </w:tc>
      </w:tr>
      <w:tr w14:paraId="59521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01129C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14:paraId="6A72C45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4A7C3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29.86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52EE6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29.86</w:t>
            </w:r>
          </w:p>
        </w:tc>
        <w:tc>
          <w:tcPr>
            <w:tcW w:w="1213" w:type="pct"/>
            <w:tcBorders>
              <w:top w:val="single" w:color="auto" w:sz="4" w:space="0"/>
              <w:left w:val="single" w:color="auto" w:sz="4" w:space="0"/>
              <w:bottom w:val="single" w:color="auto" w:sz="4" w:space="0"/>
              <w:right w:val="single" w:color="auto" w:sz="4" w:space="0"/>
            </w:tcBorders>
            <w:noWrap/>
            <w:vAlign w:val="center"/>
          </w:tcPr>
          <w:p w14:paraId="0AB20BF0">
            <w:pPr>
              <w:jc w:val="right"/>
              <w:rPr>
                <w:rFonts w:hint="default" w:ascii="Times New Roman" w:hAnsi="Times New Roman" w:eastAsia="宋体" w:cs="Times New Roman"/>
                <w:i w:val="0"/>
                <w:iCs w:val="0"/>
                <w:color w:val="000000"/>
                <w:sz w:val="20"/>
                <w:szCs w:val="20"/>
                <w:highlight w:val="none"/>
                <w:u w:val="none"/>
              </w:rPr>
            </w:pPr>
          </w:p>
        </w:tc>
      </w:tr>
      <w:tr w14:paraId="6E10E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1A2AF9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14:paraId="2A19291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D2F99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29.86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2E120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29.86</w:t>
            </w:r>
          </w:p>
        </w:tc>
        <w:tc>
          <w:tcPr>
            <w:tcW w:w="1213" w:type="pct"/>
            <w:tcBorders>
              <w:top w:val="single" w:color="auto" w:sz="4" w:space="0"/>
              <w:left w:val="single" w:color="auto" w:sz="4" w:space="0"/>
              <w:bottom w:val="single" w:color="auto" w:sz="4" w:space="0"/>
              <w:right w:val="single" w:color="auto" w:sz="4" w:space="0"/>
            </w:tcBorders>
            <w:noWrap/>
            <w:vAlign w:val="center"/>
          </w:tcPr>
          <w:p w14:paraId="43B1E360">
            <w:pPr>
              <w:jc w:val="right"/>
              <w:rPr>
                <w:rFonts w:hint="default" w:ascii="Times New Roman" w:hAnsi="Times New Roman" w:eastAsia="宋体" w:cs="Times New Roman"/>
                <w:i w:val="0"/>
                <w:iCs w:val="0"/>
                <w:color w:val="000000"/>
                <w:sz w:val="20"/>
                <w:szCs w:val="20"/>
                <w:highlight w:val="none"/>
                <w:u w:val="none"/>
              </w:rPr>
            </w:pPr>
          </w:p>
        </w:tc>
      </w:tr>
      <w:tr w14:paraId="45FED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22C5CF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14:paraId="398C2F8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79D254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26.26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3A024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26.26</w:t>
            </w:r>
          </w:p>
        </w:tc>
        <w:tc>
          <w:tcPr>
            <w:tcW w:w="1213" w:type="pct"/>
            <w:tcBorders>
              <w:top w:val="single" w:color="auto" w:sz="4" w:space="0"/>
              <w:left w:val="single" w:color="auto" w:sz="4" w:space="0"/>
              <w:bottom w:val="single" w:color="auto" w:sz="4" w:space="0"/>
              <w:right w:val="single" w:color="auto" w:sz="4" w:space="0"/>
            </w:tcBorders>
            <w:noWrap/>
            <w:vAlign w:val="center"/>
          </w:tcPr>
          <w:p w14:paraId="76344024">
            <w:pPr>
              <w:jc w:val="right"/>
              <w:rPr>
                <w:rFonts w:hint="default" w:ascii="Times New Roman" w:hAnsi="Times New Roman" w:eastAsia="宋体" w:cs="Times New Roman"/>
                <w:i w:val="0"/>
                <w:iCs w:val="0"/>
                <w:color w:val="000000"/>
                <w:sz w:val="20"/>
                <w:szCs w:val="20"/>
                <w:highlight w:val="none"/>
                <w:u w:val="none"/>
              </w:rPr>
            </w:pPr>
          </w:p>
        </w:tc>
      </w:tr>
      <w:tr w14:paraId="76E59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FEA120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748" w:type="pct"/>
            <w:tcBorders>
              <w:top w:val="single" w:color="auto" w:sz="4" w:space="0"/>
              <w:left w:val="single" w:color="auto" w:sz="4" w:space="0"/>
              <w:bottom w:val="single" w:color="auto" w:sz="4" w:space="0"/>
              <w:right w:val="single" w:color="auto" w:sz="4" w:space="0"/>
            </w:tcBorders>
            <w:noWrap/>
            <w:vAlign w:val="center"/>
          </w:tcPr>
          <w:p w14:paraId="0925486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BFBF7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7FF652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3.60</w:t>
            </w:r>
          </w:p>
        </w:tc>
        <w:tc>
          <w:tcPr>
            <w:tcW w:w="1213" w:type="pct"/>
            <w:tcBorders>
              <w:top w:val="single" w:color="auto" w:sz="4" w:space="0"/>
              <w:left w:val="single" w:color="auto" w:sz="4" w:space="0"/>
              <w:bottom w:val="single" w:color="auto" w:sz="4" w:space="0"/>
              <w:right w:val="single" w:color="auto" w:sz="4" w:space="0"/>
            </w:tcBorders>
            <w:noWrap/>
            <w:vAlign w:val="center"/>
          </w:tcPr>
          <w:p w14:paraId="0B4F27B0">
            <w:pPr>
              <w:jc w:val="right"/>
              <w:rPr>
                <w:rFonts w:hint="default" w:ascii="Times New Roman" w:hAnsi="Times New Roman" w:eastAsia="宋体" w:cs="Times New Roman"/>
                <w:i w:val="0"/>
                <w:iCs w:val="0"/>
                <w:color w:val="000000"/>
                <w:sz w:val="20"/>
                <w:szCs w:val="20"/>
                <w:highlight w:val="none"/>
                <w:u w:val="none"/>
              </w:rPr>
            </w:pPr>
          </w:p>
        </w:tc>
      </w:tr>
      <w:tr w14:paraId="4F297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78E24B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14:paraId="135F8F5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2A0FA9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51.80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AF0F4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51.80</w:t>
            </w:r>
          </w:p>
        </w:tc>
        <w:tc>
          <w:tcPr>
            <w:tcW w:w="1213" w:type="pct"/>
            <w:tcBorders>
              <w:top w:val="single" w:color="auto" w:sz="4" w:space="0"/>
              <w:left w:val="single" w:color="auto" w:sz="4" w:space="0"/>
              <w:bottom w:val="single" w:color="auto" w:sz="4" w:space="0"/>
              <w:right w:val="single" w:color="auto" w:sz="4" w:space="0"/>
            </w:tcBorders>
            <w:noWrap/>
            <w:vAlign w:val="center"/>
          </w:tcPr>
          <w:p w14:paraId="04687E4E">
            <w:pPr>
              <w:jc w:val="right"/>
              <w:rPr>
                <w:rFonts w:hint="default" w:ascii="Times New Roman" w:hAnsi="Times New Roman" w:eastAsia="宋体" w:cs="Times New Roman"/>
                <w:i w:val="0"/>
                <w:iCs w:val="0"/>
                <w:color w:val="000000"/>
                <w:sz w:val="20"/>
                <w:szCs w:val="20"/>
                <w:highlight w:val="none"/>
                <w:u w:val="none"/>
              </w:rPr>
            </w:pPr>
          </w:p>
        </w:tc>
      </w:tr>
      <w:tr w14:paraId="736B9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97D334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14:paraId="365D3AB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6C2AA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51.80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DC71F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51.80</w:t>
            </w:r>
          </w:p>
        </w:tc>
        <w:tc>
          <w:tcPr>
            <w:tcW w:w="1213" w:type="pct"/>
            <w:tcBorders>
              <w:top w:val="single" w:color="auto" w:sz="4" w:space="0"/>
              <w:left w:val="single" w:color="auto" w:sz="4" w:space="0"/>
              <w:bottom w:val="single" w:color="auto" w:sz="4" w:space="0"/>
              <w:right w:val="single" w:color="auto" w:sz="4" w:space="0"/>
            </w:tcBorders>
            <w:noWrap/>
            <w:vAlign w:val="center"/>
          </w:tcPr>
          <w:p w14:paraId="5B7CF30F">
            <w:pPr>
              <w:jc w:val="right"/>
              <w:rPr>
                <w:rFonts w:hint="default" w:ascii="Times New Roman" w:hAnsi="Times New Roman" w:eastAsia="宋体" w:cs="Times New Roman"/>
                <w:i w:val="0"/>
                <w:iCs w:val="0"/>
                <w:color w:val="000000"/>
                <w:sz w:val="20"/>
                <w:szCs w:val="20"/>
                <w:highlight w:val="none"/>
                <w:u w:val="none"/>
              </w:rPr>
            </w:pPr>
          </w:p>
        </w:tc>
      </w:tr>
      <w:tr w14:paraId="1EFBA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694238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14:paraId="4AA22A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768FD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51.80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011001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51.80</w:t>
            </w:r>
          </w:p>
        </w:tc>
        <w:tc>
          <w:tcPr>
            <w:tcW w:w="1213" w:type="pct"/>
            <w:tcBorders>
              <w:top w:val="single" w:color="auto" w:sz="4" w:space="0"/>
              <w:left w:val="single" w:color="auto" w:sz="4" w:space="0"/>
              <w:bottom w:val="single" w:color="auto" w:sz="4" w:space="0"/>
              <w:right w:val="single" w:color="auto" w:sz="4" w:space="0"/>
            </w:tcBorders>
            <w:noWrap/>
            <w:vAlign w:val="center"/>
          </w:tcPr>
          <w:p w14:paraId="2D49907A">
            <w:pPr>
              <w:jc w:val="right"/>
              <w:rPr>
                <w:rFonts w:hint="default" w:ascii="Times New Roman" w:hAnsi="Times New Roman" w:eastAsia="宋体" w:cs="Times New Roman"/>
                <w:i w:val="0"/>
                <w:iCs w:val="0"/>
                <w:color w:val="000000"/>
                <w:sz w:val="20"/>
                <w:szCs w:val="20"/>
                <w:highlight w:val="none"/>
                <w:u w:val="none"/>
              </w:rPr>
            </w:pP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14:paraId="0426EB1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7D1BEC4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编制部门（单位）：平泉市人民检察院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663.85</w:t>
            </w:r>
          </w:p>
        </w:tc>
        <w:tc>
          <w:tcPr>
            <w:tcW w:w="425"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242.00</w:t>
            </w:r>
          </w:p>
        </w:tc>
        <w:tc>
          <w:tcPr>
            <w:tcW w:w="425"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242.16</w:t>
            </w:r>
          </w:p>
        </w:tc>
        <w:tc>
          <w:tcPr>
            <w:tcW w:w="425"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23.38</w:t>
            </w:r>
          </w:p>
        </w:tc>
        <w:tc>
          <w:tcPr>
            <w:tcW w:w="425"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239.10</w:t>
            </w:r>
          </w:p>
        </w:tc>
        <w:tc>
          <w:tcPr>
            <w:tcW w:w="425"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10.32</w:t>
            </w:r>
          </w:p>
        </w:tc>
        <w:tc>
          <w:tcPr>
            <w:tcW w:w="425"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19.05</w:t>
            </w:r>
          </w:p>
        </w:tc>
        <w:tc>
          <w:tcPr>
            <w:tcW w:w="425"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1.80</w:t>
            </w: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3.16</w:t>
            </w:r>
          </w:p>
        </w:tc>
        <w:tc>
          <w:tcPr>
            <w:tcW w:w="425"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1.95</w:t>
            </w:r>
          </w:p>
        </w:tc>
        <w:tc>
          <w:tcPr>
            <w:tcW w:w="425"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1.80</w:t>
            </w: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67.42</w:t>
            </w:r>
          </w:p>
        </w:tc>
        <w:tc>
          <w:tcPr>
            <w:tcW w:w="425"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24.70</w:t>
            </w:r>
          </w:p>
        </w:tc>
        <w:tc>
          <w:tcPr>
            <w:tcW w:w="425"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21.04</w:t>
            </w:r>
          </w:p>
        </w:tc>
        <w:tc>
          <w:tcPr>
            <w:tcW w:w="425"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28.73</w:t>
            </w:r>
          </w:p>
        </w:tc>
        <w:tc>
          <w:tcPr>
            <w:tcW w:w="425"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36.64</w:t>
            </w:r>
          </w:p>
        </w:tc>
        <w:tc>
          <w:tcPr>
            <w:tcW w:w="425"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3.86</w:t>
            </w:r>
          </w:p>
        </w:tc>
        <w:tc>
          <w:tcPr>
            <w:tcW w:w="425"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39.86</w:t>
            </w:r>
          </w:p>
        </w:tc>
        <w:tc>
          <w:tcPr>
            <w:tcW w:w="425"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6.36</w:t>
            </w:r>
          </w:p>
        </w:tc>
        <w:tc>
          <w:tcPr>
            <w:tcW w:w="425"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3.53</w:t>
            </w:r>
          </w:p>
        </w:tc>
        <w:tc>
          <w:tcPr>
            <w:tcW w:w="425"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51.80</w:t>
            </w:r>
          </w:p>
        </w:tc>
        <w:tc>
          <w:tcPr>
            <w:tcW w:w="425"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19.25</w:t>
            </w:r>
          </w:p>
        </w:tc>
        <w:tc>
          <w:tcPr>
            <w:tcW w:w="425"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2.21</w:t>
            </w:r>
          </w:p>
        </w:tc>
        <w:tc>
          <w:tcPr>
            <w:tcW w:w="425"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119.93</w:t>
            </w:r>
          </w:p>
        </w:tc>
        <w:tc>
          <w:tcPr>
            <w:tcW w:w="425"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1.07</w:t>
            </w:r>
          </w:p>
        </w:tc>
        <w:tc>
          <w:tcPr>
            <w:tcW w:w="425"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74.48</w:t>
            </w:r>
          </w:p>
        </w:tc>
        <w:tc>
          <w:tcPr>
            <w:tcW w:w="425"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1.54</w:t>
            </w:r>
          </w:p>
        </w:tc>
        <w:tc>
          <w:tcPr>
            <w:tcW w:w="425"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26.86</w:t>
            </w:r>
          </w:p>
        </w:tc>
        <w:tc>
          <w:tcPr>
            <w:tcW w:w="425"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0.72</w:t>
            </w:r>
          </w:p>
        </w:tc>
        <w:tc>
          <w:tcPr>
            <w:tcW w:w="425"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7.18</w:t>
            </w:r>
          </w:p>
        </w:tc>
        <w:tc>
          <w:tcPr>
            <w:tcW w:w="425"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5.19</w:t>
            </w:r>
          </w:p>
        </w:tc>
        <w:tc>
          <w:tcPr>
            <w:tcW w:w="425"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0.30</w:t>
            </w:r>
          </w:p>
        </w:tc>
        <w:tc>
          <w:tcPr>
            <w:tcW w:w="425"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5.33</w:t>
            </w:r>
          </w:p>
        </w:tc>
        <w:tc>
          <w:tcPr>
            <w:tcW w:w="425"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8.50</w:t>
            </w:r>
          </w:p>
        </w:tc>
        <w:tc>
          <w:tcPr>
            <w:tcW w:w="425"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29.45</w:t>
            </w:r>
          </w:p>
        </w:tc>
        <w:tc>
          <w:tcPr>
            <w:tcW w:w="425"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16.50</w:t>
            </w:r>
          </w:p>
        </w:tc>
        <w:tc>
          <w:tcPr>
            <w:tcW w:w="425"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4.11</w:t>
            </w:r>
          </w:p>
        </w:tc>
        <w:tc>
          <w:tcPr>
            <w:tcW w:w="425"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783.78</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243.80</w:t>
            </w: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654F3FE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676E0D8C">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2"/>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编制部门（单位）：平泉市人民检察院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5C444470">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27955A6F">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编制部门（单位）：平泉市人民检察院</w:t>
            </w:r>
          </w:p>
        </w:tc>
        <w:tc>
          <w:tcPr>
            <w:tcW w:w="1666"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1BC9E6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14:paraId="434EE994">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编制部门（单位）：平泉市人民检察院</w:t>
            </w:r>
          </w:p>
        </w:tc>
        <w:tc>
          <w:tcPr>
            <w:tcW w:w="933"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18.00</w:t>
            </w:r>
          </w:p>
        </w:tc>
        <w:tc>
          <w:tcPr>
            <w:tcW w:w="528"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15.70</w:t>
            </w:r>
          </w:p>
        </w:tc>
        <w:tc>
          <w:tcPr>
            <w:tcW w:w="407"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15.70</w:t>
            </w:r>
          </w:p>
        </w:tc>
        <w:tc>
          <w:tcPr>
            <w:tcW w:w="335"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2.30</w:t>
            </w:r>
          </w:p>
        </w:tc>
        <w:tc>
          <w:tcPr>
            <w:tcW w:w="366" w:type="pct"/>
            <w:gridSpan w:val="2"/>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17.25</w:t>
            </w:r>
          </w:p>
        </w:tc>
        <w:tc>
          <w:tcPr>
            <w:tcW w:w="48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15.70</w:t>
            </w:r>
          </w:p>
        </w:tc>
        <w:tc>
          <w:tcPr>
            <w:tcW w:w="442"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15.70</w:t>
            </w:r>
          </w:p>
        </w:tc>
        <w:tc>
          <w:tcPr>
            <w:tcW w:w="511"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1.54</w:t>
            </w: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69AB94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25DB36A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43766B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2ABDBA3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3EB222C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EC4F5CA">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978404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4651D0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B4ED26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D24B31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C10CFF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FDFFEF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9F72857">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279E09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127DE2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14:paraId="6ACF122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73C310F">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14:paraId="4424C76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6839BE7">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880370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43571D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9E7358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EB0248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14:paraId="36167686">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14:paraId="7592017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43DE20A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C5B128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14:paraId="5AC38C56">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本单位2023年度收、支总计（含结转和结余）</w:t>
      </w:r>
      <w:r>
        <w:rPr>
          <w:rFonts w:hint="default" w:ascii="Times New Roman" w:hAnsi="Times New Roman" w:eastAsia="仿宋_GB2312" w:cs="Times New Roman"/>
          <w:kern w:val="2"/>
          <w:sz w:val="32"/>
          <w:szCs w:val="32"/>
          <w:lang w:val="zh-CN" w:eastAsia="zh-CN"/>
        </w:rPr>
        <w:t>1,268.27</w:t>
      </w:r>
      <w:r>
        <w:rPr>
          <w:rFonts w:hint="default" w:ascii="Times New Roman" w:hAnsi="Times New Roman" w:eastAsia="仿宋_GB2312" w:cs="Times New Roman"/>
          <w:kern w:val="2"/>
          <w:sz w:val="32"/>
          <w:szCs w:val="32"/>
          <w:lang w:eastAsia="zh-CN"/>
        </w:rPr>
        <w:t>万元。与2022年度决算相比，收支各减少</w:t>
      </w:r>
      <w:r>
        <w:rPr>
          <w:rFonts w:hint="eastAsia" w:ascii="Times New Roman" w:hAnsi="Times New Roman" w:eastAsia="仿宋_GB2312" w:cs="Times New Roman"/>
          <w:kern w:val="2"/>
          <w:sz w:val="32"/>
          <w:szCs w:val="32"/>
          <w:lang w:val="en-US" w:eastAsia="zh-CN"/>
        </w:rPr>
        <w:t>56.27</w:t>
      </w:r>
      <w:r>
        <w:rPr>
          <w:rFonts w:hint="default" w:ascii="Times New Roman" w:hAnsi="Times New Roman" w:eastAsia="仿宋_GB2312" w:cs="Times New Roman"/>
          <w:kern w:val="2"/>
          <w:sz w:val="32"/>
          <w:szCs w:val="32"/>
          <w:lang w:eastAsia="zh-CN"/>
        </w:rPr>
        <w:t>万元，下降</w:t>
      </w:r>
      <w:r>
        <w:rPr>
          <w:rFonts w:hint="eastAsia" w:ascii="Times New Roman" w:hAnsi="Times New Roman" w:eastAsia="仿宋_GB2312" w:cs="Times New Roman"/>
          <w:kern w:val="2"/>
          <w:sz w:val="32"/>
          <w:szCs w:val="32"/>
          <w:lang w:val="en-US" w:eastAsia="zh-CN"/>
        </w:rPr>
        <w:t>4.25</w:t>
      </w:r>
      <w:r>
        <w:rPr>
          <w:rFonts w:hint="default" w:ascii="Times New Roman" w:hAnsi="Times New Roman" w:eastAsia="仿宋_GB2312" w:cs="Times New Roman"/>
          <w:kern w:val="2"/>
          <w:sz w:val="32"/>
          <w:szCs w:val="32"/>
          <w:lang w:eastAsia="zh-CN"/>
        </w:rPr>
        <w:t>%，主要原因是</w:t>
      </w:r>
      <w:r>
        <w:rPr>
          <w:rFonts w:hint="eastAsia" w:ascii="Times New Roman" w:hAnsi="Times New Roman" w:eastAsia="仿宋_GB2312" w:cs="Times New Roman"/>
          <w:kern w:val="2"/>
          <w:sz w:val="32"/>
          <w:szCs w:val="32"/>
          <w:u w:val="single"/>
          <w:lang w:val="en-US" w:eastAsia="zh-CN"/>
        </w:rPr>
        <w:t>2024年收支总计中包含以前年度书记员欠发的工资，因此较2023年收支总计减少</w:t>
      </w:r>
      <w:r>
        <w:rPr>
          <w:rFonts w:hint="default" w:ascii="Times New Roman" w:hAnsi="Times New Roman" w:eastAsia="仿宋_GB2312" w:cs="Times New Roman"/>
          <w:kern w:val="2"/>
          <w:sz w:val="32"/>
          <w:szCs w:val="32"/>
          <w:lang w:eastAsia="zh-CN"/>
        </w:rPr>
        <w:t>。</w:t>
      </w:r>
    </w:p>
    <w:p w14:paraId="7CDC698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_GB2312" w:cs="Times New Roman"/>
          <w:kern w:val="2"/>
          <w:sz w:val="32"/>
          <w:szCs w:val="32"/>
          <w:highlight w:val="yellow"/>
          <w:lang w:val="en-US" w:eastAsia="zh-CN" w:bidi="ar-SA"/>
        </w:rPr>
      </w:pPr>
      <w:r>
        <w:rPr>
          <w:rFonts w:hint="eastAsia" w:ascii="仿宋_GB2312" w:hAnsi="Times New Roman" w:eastAsia="仿宋_GB2312" w:cs="DengXian-Regular"/>
          <w:sz w:val="32"/>
          <w:szCs w:val="32"/>
          <w:highlight w:val="none"/>
          <w:lang w:eastAsia="zh-CN"/>
        </w:rPr>
        <w:drawing>
          <wp:anchor distT="0" distB="0" distL="114300" distR="114300" simplePos="0" relativeHeight="251666432" behindDoc="0" locked="0" layoutInCell="1" allowOverlap="1">
            <wp:simplePos x="0" y="0"/>
            <wp:positionH relativeFrom="column">
              <wp:posOffset>342900</wp:posOffset>
            </wp:positionH>
            <wp:positionV relativeFrom="paragraph">
              <wp:posOffset>119380</wp:posOffset>
            </wp:positionV>
            <wp:extent cx="4519930" cy="2320290"/>
            <wp:effectExtent l="4445" t="5080" r="17145" b="6350"/>
            <wp:wrapTopAndBottom/>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55CC107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14:paraId="3E4773C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14:paraId="5032CD03">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1,268.27</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，其中：财政拨款收入1,268.27万元，占100%；上级补助收入0万元，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14:paraId="45EF6D2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14:paraId="0A6238B3">
      <w:pPr>
        <w:autoSpaceDE w:val="0"/>
        <w:autoSpaceDN w:val="0"/>
        <w:adjustRightInd w:val="0"/>
        <w:spacing w:line="580" w:lineRule="exact"/>
        <w:ind w:firstLine="600"/>
        <w:jc w:val="left"/>
        <w:rPr>
          <w:rFonts w:hint="eastAsia" w:ascii="Times New Roman" w:hAnsi="Times New Roman" w:eastAsia="仿宋_GB2312" w:cs="Times New Roman"/>
          <w:kern w:val="2"/>
          <w:sz w:val="32"/>
          <w:szCs w:val="32"/>
          <w:lang w:val="zh-CN" w:eastAsia="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1,268.27万元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1,027.58万元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占81.02%；</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240.69万元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占18.98%；</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14:paraId="3D54B6F6">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zh-CN" w:eastAsia="zh-CN"/>
        </w:rPr>
      </w:pPr>
      <w:r>
        <w:rPr>
          <w:rFonts w:hint="eastAsia" w:ascii="仿宋_GB2312" w:hAnsi="Times New Roman" w:eastAsia="仿宋_GB2312" w:cs="DengXian-Regular"/>
          <w:sz w:val="32"/>
          <w:szCs w:val="32"/>
          <w:highlight w:val="none"/>
          <w:lang w:eastAsia="zh-CN"/>
        </w:rPr>
        <w:drawing>
          <wp:anchor distT="0" distB="0" distL="114300" distR="114300" simplePos="0" relativeHeight="251667456" behindDoc="0" locked="0" layoutInCell="1" allowOverlap="1">
            <wp:simplePos x="0" y="0"/>
            <wp:positionH relativeFrom="column">
              <wp:posOffset>522605</wp:posOffset>
            </wp:positionH>
            <wp:positionV relativeFrom="paragraph">
              <wp:posOffset>192405</wp:posOffset>
            </wp:positionV>
            <wp:extent cx="4184015" cy="2196465"/>
            <wp:effectExtent l="4445" t="4445" r="17780" b="8890"/>
            <wp:wrapTopAndBottom/>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1C3C7F2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14:paraId="0195B67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14:paraId="54D7AEFD">
      <w:pPr>
        <w:autoSpaceDE w:val="0"/>
        <w:autoSpaceDN w:val="0"/>
        <w:adjustRightInd w:val="0"/>
        <w:spacing w:line="580" w:lineRule="exact"/>
        <w:ind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年度财政拨款本年收入1,268.27</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元,比上年减少</w:t>
      </w:r>
      <w:r>
        <w:rPr>
          <w:rFonts w:hint="eastAsia" w:ascii="Times New Roman" w:hAnsi="Times New Roman" w:eastAsia="仿宋_GB2312" w:cs="Times New Roman"/>
          <w:kern w:val="2"/>
          <w:sz w:val="32"/>
          <w:szCs w:val="32"/>
          <w:lang w:val="en-US" w:eastAsia="zh-CN"/>
        </w:rPr>
        <w:t>56.27</w:t>
      </w:r>
      <w:r>
        <w:rPr>
          <w:rFonts w:hint="default" w:ascii="Times New Roman" w:hAnsi="Times New Roman" w:eastAsia="仿宋_GB2312" w:cs="Times New Roman"/>
          <w:kern w:val="2"/>
          <w:sz w:val="32"/>
          <w:szCs w:val="32"/>
          <w:lang w:eastAsia="zh-CN"/>
        </w:rPr>
        <w:t>万元，下降</w:t>
      </w:r>
      <w:r>
        <w:rPr>
          <w:rFonts w:hint="eastAsia" w:ascii="Times New Roman" w:hAnsi="Times New Roman" w:eastAsia="仿宋_GB2312" w:cs="Times New Roman"/>
          <w:kern w:val="2"/>
          <w:sz w:val="32"/>
          <w:szCs w:val="32"/>
          <w:lang w:val="en-US" w:eastAsia="zh-CN"/>
        </w:rPr>
        <w:t>4.25</w:t>
      </w:r>
      <w:r>
        <w:rPr>
          <w:rFonts w:hint="default" w:ascii="Times New Roman" w:hAnsi="Times New Roman" w:eastAsia="仿宋_GB2312" w:cs="Times New Roman"/>
          <w:kern w:val="2"/>
          <w:sz w:val="32"/>
          <w:szCs w:val="32"/>
          <w:lang w:eastAsia="zh-CN"/>
        </w:rPr>
        <w:t>%，主要原因是</w:t>
      </w:r>
      <w:r>
        <w:rPr>
          <w:rFonts w:hint="eastAsia" w:ascii="Times New Roman" w:hAnsi="Times New Roman" w:eastAsia="仿宋_GB2312" w:cs="Times New Roman"/>
          <w:kern w:val="2"/>
          <w:sz w:val="32"/>
          <w:szCs w:val="32"/>
          <w:u w:val="single"/>
          <w:lang w:val="en-US" w:eastAsia="zh-CN"/>
        </w:rPr>
        <w:t>2024年收入总计中包含以前年度书记员欠发的工资，因此较2023年收入总计减少</w:t>
      </w:r>
      <w:r>
        <w:rPr>
          <w:rFonts w:hint="default" w:ascii="Times New Roman" w:hAnsi="Times New Roman" w:eastAsia="仿宋_GB2312" w:cs="Times New Roman"/>
          <w:color w:val="auto"/>
          <w:kern w:val="2"/>
          <w:sz w:val="32"/>
          <w:szCs w:val="32"/>
          <w:lang w:val="zh-CN" w:eastAsia="zh-CN" w:bidi="ar-SA"/>
        </w:rPr>
        <w:t>；本年支出 1,268.27万元，比上年增加</w:t>
      </w:r>
      <w:r>
        <w:rPr>
          <w:rFonts w:hint="eastAsia" w:ascii="Times New Roman" w:hAnsi="Times New Roman" w:eastAsia="仿宋_GB2312" w:cs="Times New Roman"/>
          <w:kern w:val="2"/>
          <w:sz w:val="32"/>
          <w:szCs w:val="32"/>
          <w:lang w:val="en-US" w:eastAsia="zh-CN"/>
        </w:rPr>
        <w:t>56.27</w:t>
      </w:r>
      <w:r>
        <w:rPr>
          <w:rFonts w:hint="default" w:ascii="Times New Roman" w:hAnsi="Times New Roman" w:eastAsia="仿宋_GB2312" w:cs="Times New Roman"/>
          <w:kern w:val="2"/>
          <w:sz w:val="32"/>
          <w:szCs w:val="32"/>
          <w:lang w:eastAsia="zh-CN"/>
        </w:rPr>
        <w:t>万元，下降</w:t>
      </w:r>
      <w:r>
        <w:rPr>
          <w:rFonts w:hint="eastAsia" w:ascii="Times New Roman" w:hAnsi="Times New Roman" w:eastAsia="仿宋_GB2312" w:cs="Times New Roman"/>
          <w:kern w:val="2"/>
          <w:sz w:val="32"/>
          <w:szCs w:val="32"/>
          <w:lang w:val="en-US" w:eastAsia="zh-CN"/>
        </w:rPr>
        <w:t>4.25</w:t>
      </w:r>
      <w:r>
        <w:rPr>
          <w:rFonts w:hint="default" w:ascii="Times New Roman" w:hAnsi="Times New Roman" w:eastAsia="仿宋_GB2312" w:cs="Times New Roman"/>
          <w:kern w:val="2"/>
          <w:sz w:val="32"/>
          <w:szCs w:val="32"/>
          <w:lang w:eastAsia="zh-CN"/>
        </w:rPr>
        <w:t>%，主要原因是</w:t>
      </w:r>
      <w:r>
        <w:rPr>
          <w:rFonts w:hint="eastAsia" w:ascii="Times New Roman" w:hAnsi="Times New Roman" w:eastAsia="仿宋_GB2312" w:cs="Times New Roman"/>
          <w:kern w:val="2"/>
          <w:sz w:val="32"/>
          <w:szCs w:val="32"/>
          <w:u w:val="single"/>
          <w:lang w:val="en-US" w:eastAsia="zh-CN"/>
        </w:rPr>
        <w:t>2024年支出总计中包含以前年度书记员欠发的工资，因此较2023年支出总计减少</w:t>
      </w:r>
      <w:r>
        <w:rPr>
          <w:rFonts w:hint="default" w:ascii="Times New Roman" w:hAnsi="Times New Roman" w:eastAsia="仿宋_GB2312" w:cs="Times New Roman"/>
          <w:color w:val="auto"/>
          <w:kern w:val="2"/>
          <w:sz w:val="32"/>
          <w:szCs w:val="32"/>
          <w:lang w:val="zh-CN" w:eastAsia="zh-CN" w:bidi="ar-SA"/>
        </w:rPr>
        <w:t>。具体情况如下：</w:t>
      </w:r>
    </w:p>
    <w:p w14:paraId="35BA0467">
      <w:pPr>
        <w:numPr>
          <w:ilvl w:val="0"/>
          <w:numId w:val="2"/>
        </w:numPr>
        <w:autoSpaceDE w:val="0"/>
        <w:autoSpaceDN w:val="0"/>
        <w:adjustRightInd w:val="0"/>
        <w:spacing w:line="580" w:lineRule="exact"/>
        <w:ind w:firstLine="640" w:firstLineChars="20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年度财政拨款本年收入1,268.27</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元,比上年减少</w:t>
      </w:r>
      <w:r>
        <w:rPr>
          <w:rFonts w:hint="eastAsia" w:ascii="Times New Roman" w:hAnsi="Times New Roman" w:eastAsia="仿宋_GB2312" w:cs="Times New Roman"/>
          <w:kern w:val="2"/>
          <w:sz w:val="32"/>
          <w:szCs w:val="32"/>
          <w:lang w:val="en-US" w:eastAsia="zh-CN"/>
        </w:rPr>
        <w:t>56.27</w:t>
      </w:r>
      <w:r>
        <w:rPr>
          <w:rFonts w:hint="default" w:ascii="Times New Roman" w:hAnsi="Times New Roman" w:eastAsia="仿宋_GB2312" w:cs="Times New Roman"/>
          <w:kern w:val="2"/>
          <w:sz w:val="32"/>
          <w:szCs w:val="32"/>
          <w:lang w:eastAsia="zh-CN"/>
        </w:rPr>
        <w:t>万元，下降</w:t>
      </w:r>
      <w:r>
        <w:rPr>
          <w:rFonts w:hint="eastAsia" w:ascii="Times New Roman" w:hAnsi="Times New Roman" w:eastAsia="仿宋_GB2312" w:cs="Times New Roman"/>
          <w:kern w:val="2"/>
          <w:sz w:val="32"/>
          <w:szCs w:val="32"/>
          <w:lang w:val="en-US" w:eastAsia="zh-CN"/>
        </w:rPr>
        <w:t>4.25</w:t>
      </w:r>
      <w:r>
        <w:rPr>
          <w:rFonts w:hint="default" w:ascii="Times New Roman" w:hAnsi="Times New Roman" w:eastAsia="仿宋_GB2312" w:cs="Times New Roman"/>
          <w:kern w:val="2"/>
          <w:sz w:val="32"/>
          <w:szCs w:val="32"/>
          <w:lang w:eastAsia="zh-CN"/>
        </w:rPr>
        <w:t>%，主要原因是</w:t>
      </w:r>
      <w:r>
        <w:rPr>
          <w:rFonts w:hint="eastAsia" w:ascii="Times New Roman" w:hAnsi="Times New Roman" w:eastAsia="仿宋_GB2312" w:cs="Times New Roman"/>
          <w:kern w:val="2"/>
          <w:sz w:val="32"/>
          <w:szCs w:val="32"/>
          <w:u w:val="single"/>
          <w:lang w:val="en-US" w:eastAsia="zh-CN"/>
        </w:rPr>
        <w:t>2024年收入总计中包含以前年度书记员欠发的工资，因此较2023年收入总计减少</w:t>
      </w:r>
      <w:r>
        <w:rPr>
          <w:rFonts w:hint="default" w:ascii="Times New Roman" w:hAnsi="Times New Roman" w:eastAsia="仿宋_GB2312" w:cs="Times New Roman"/>
          <w:color w:val="auto"/>
          <w:kern w:val="2"/>
          <w:sz w:val="32"/>
          <w:szCs w:val="32"/>
          <w:lang w:val="zh-CN" w:eastAsia="zh-CN" w:bidi="ar-SA"/>
        </w:rPr>
        <w:t>；本年支出 1,268.27万元，比上年增加</w:t>
      </w:r>
      <w:r>
        <w:rPr>
          <w:rFonts w:hint="eastAsia" w:ascii="Times New Roman" w:hAnsi="Times New Roman" w:eastAsia="仿宋_GB2312" w:cs="Times New Roman"/>
          <w:kern w:val="2"/>
          <w:sz w:val="32"/>
          <w:szCs w:val="32"/>
          <w:lang w:val="en-US" w:eastAsia="zh-CN"/>
        </w:rPr>
        <w:t>56.27</w:t>
      </w:r>
      <w:r>
        <w:rPr>
          <w:rFonts w:hint="default" w:ascii="Times New Roman" w:hAnsi="Times New Roman" w:eastAsia="仿宋_GB2312" w:cs="Times New Roman"/>
          <w:kern w:val="2"/>
          <w:sz w:val="32"/>
          <w:szCs w:val="32"/>
          <w:lang w:eastAsia="zh-CN"/>
        </w:rPr>
        <w:t>万元，下降</w:t>
      </w:r>
      <w:r>
        <w:rPr>
          <w:rFonts w:hint="eastAsia" w:ascii="Times New Roman" w:hAnsi="Times New Roman" w:eastAsia="仿宋_GB2312" w:cs="Times New Roman"/>
          <w:kern w:val="2"/>
          <w:sz w:val="32"/>
          <w:szCs w:val="32"/>
          <w:lang w:val="en-US" w:eastAsia="zh-CN"/>
        </w:rPr>
        <w:t>4.25</w:t>
      </w:r>
      <w:r>
        <w:rPr>
          <w:rFonts w:hint="default" w:ascii="Times New Roman" w:hAnsi="Times New Roman" w:eastAsia="仿宋_GB2312" w:cs="Times New Roman"/>
          <w:kern w:val="2"/>
          <w:sz w:val="32"/>
          <w:szCs w:val="32"/>
          <w:lang w:eastAsia="zh-CN"/>
        </w:rPr>
        <w:t>%，主要原因是</w:t>
      </w:r>
      <w:r>
        <w:rPr>
          <w:rFonts w:hint="eastAsia" w:ascii="Times New Roman" w:hAnsi="Times New Roman" w:eastAsia="仿宋_GB2312" w:cs="Times New Roman"/>
          <w:kern w:val="2"/>
          <w:sz w:val="32"/>
          <w:szCs w:val="32"/>
          <w:u w:val="single"/>
          <w:lang w:val="en-US" w:eastAsia="zh-CN"/>
        </w:rPr>
        <w:t>2024年支出总计中包含以前年度书记员欠发的工资，因此较2023年支出总计减少</w:t>
      </w:r>
      <w:r>
        <w:rPr>
          <w:rFonts w:hint="default" w:ascii="Times New Roman" w:hAnsi="Times New Roman" w:eastAsia="仿宋_GB2312" w:cs="Times New Roman"/>
          <w:color w:val="auto"/>
          <w:kern w:val="2"/>
          <w:sz w:val="32"/>
          <w:szCs w:val="32"/>
          <w:lang w:val="zh-CN" w:eastAsia="zh-CN" w:bidi="ar-SA"/>
        </w:rPr>
        <w:t>。</w:t>
      </w:r>
    </w:p>
    <w:p w14:paraId="53366D99">
      <w:pPr>
        <w:numPr>
          <w:ilvl w:val="0"/>
          <w:numId w:val="0"/>
        </w:numPr>
        <w:autoSpaceDE w:val="0"/>
        <w:autoSpaceDN w:val="0"/>
        <w:adjustRightInd w:val="0"/>
        <w:spacing w:line="580" w:lineRule="exact"/>
        <w:jc w:val="left"/>
        <w:rPr>
          <w:rFonts w:hint="default" w:ascii="Times New Roman" w:hAnsi="Times New Roman" w:eastAsia="仿宋_GB2312" w:cs="Times New Roman"/>
          <w:color w:val="auto"/>
          <w:kern w:val="2"/>
          <w:sz w:val="32"/>
          <w:szCs w:val="32"/>
          <w:lang w:val="zh-CN" w:eastAsia="zh-CN" w:bidi="ar-SA"/>
        </w:rPr>
      </w:pPr>
    </w:p>
    <w:p w14:paraId="6181AB8B">
      <w:pPr>
        <w:numPr>
          <w:ilvl w:val="0"/>
          <w:numId w:val="0"/>
        </w:num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w:t>
      </w:r>
      <w:r>
        <w:rPr>
          <w:rFonts w:hint="eastAsia" w:ascii="Times New Roman" w:hAnsi="Times New Roman" w:eastAsia="仿宋_GB2312" w:cs="Times New Roman"/>
          <w:kern w:val="2"/>
          <w:sz w:val="32"/>
          <w:szCs w:val="32"/>
          <w:lang w:val="zh-CN"/>
        </w:rPr>
        <w:t>与上年持平</w:t>
      </w:r>
      <w:r>
        <w:rPr>
          <w:rFonts w:hint="default" w:ascii="Times New Roman" w:hAnsi="Times New Roman" w:eastAsia="仿宋_GB2312" w:cs="Times New Roman"/>
          <w:kern w:val="2"/>
          <w:sz w:val="32"/>
          <w:szCs w:val="32"/>
          <w:lang w:val="zh-CN"/>
        </w:rPr>
        <w:t>；本年支出 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w:t>
      </w:r>
      <w:r>
        <w:rPr>
          <w:rFonts w:hint="eastAsia" w:ascii="Times New Roman" w:hAnsi="Times New Roman" w:eastAsia="仿宋_GB2312" w:cs="Times New Roman"/>
          <w:kern w:val="2"/>
          <w:sz w:val="32"/>
          <w:szCs w:val="32"/>
          <w:lang w:val="zh-CN"/>
        </w:rPr>
        <w:t>与上年持平。</w:t>
      </w:r>
    </w:p>
    <w:p w14:paraId="1785D971">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w:t>
      </w:r>
      <w:r>
        <w:rPr>
          <w:rFonts w:hint="eastAsia" w:ascii="Times New Roman" w:hAnsi="Times New Roman" w:eastAsia="仿宋_GB2312" w:cs="Times New Roman"/>
          <w:kern w:val="2"/>
          <w:sz w:val="32"/>
          <w:szCs w:val="32"/>
          <w:lang w:val="zh-CN"/>
        </w:rPr>
        <w:t>，与上年持平</w:t>
      </w:r>
      <w:r>
        <w:rPr>
          <w:rFonts w:hint="default" w:ascii="Times New Roman" w:hAnsi="Times New Roman" w:eastAsia="仿宋_GB2312" w:cs="Times New Roman"/>
          <w:kern w:val="2"/>
          <w:sz w:val="32"/>
          <w:szCs w:val="32"/>
          <w:lang w:val="zh-CN"/>
        </w:rPr>
        <w:t>；本年支出0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w:t>
      </w:r>
      <w:r>
        <w:rPr>
          <w:rFonts w:hint="eastAsia" w:ascii="Times New Roman" w:hAnsi="Times New Roman" w:eastAsia="仿宋_GB2312" w:cs="Times New Roman"/>
          <w:kern w:val="2"/>
          <w:sz w:val="32"/>
          <w:szCs w:val="32"/>
          <w:lang w:val="zh-CN"/>
        </w:rPr>
        <w:t>与上年持平</w:t>
      </w:r>
      <w:r>
        <w:rPr>
          <w:rFonts w:hint="default" w:ascii="Times New Roman" w:hAnsi="Times New Roman" w:eastAsia="仿宋_GB2312" w:cs="Times New Roman"/>
          <w:kern w:val="2"/>
          <w:sz w:val="32"/>
          <w:szCs w:val="32"/>
          <w:lang w:val="zh-CN"/>
        </w:rPr>
        <w:t>。</w:t>
      </w:r>
    </w:p>
    <w:p w14:paraId="262B08CF">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14:paraId="325623C0">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年度财政拨款本年收入1,268.27万元，完成年初预算的106.4%，比年初预算增加</w:t>
      </w:r>
      <w:r>
        <w:rPr>
          <w:rFonts w:hint="eastAsia" w:ascii="Times New Roman" w:hAnsi="Times New Roman" w:eastAsia="仿宋_GB2312" w:cs="Times New Roman"/>
          <w:color w:val="auto"/>
          <w:kern w:val="2"/>
          <w:sz w:val="32"/>
          <w:szCs w:val="32"/>
          <w:lang w:val="en-US" w:eastAsia="zh-CN" w:bidi="ar-SA"/>
        </w:rPr>
        <w:t>76.34</w:t>
      </w:r>
      <w:r>
        <w:rPr>
          <w:rFonts w:hint="default" w:ascii="Times New Roman" w:hAnsi="Times New Roman" w:eastAsia="仿宋_GB2312" w:cs="Times New Roman"/>
          <w:color w:val="auto"/>
          <w:kern w:val="2"/>
          <w:sz w:val="32"/>
          <w:szCs w:val="32"/>
          <w:lang w:val="zh-CN" w:eastAsia="zh-CN" w:bidi="ar-SA"/>
        </w:rPr>
        <w:t>万元，决算数大于预算数主要原因是</w:t>
      </w:r>
      <w:r>
        <w:rPr>
          <w:rFonts w:hint="eastAsia" w:ascii="Times New Roman" w:hAnsi="Times New Roman" w:eastAsia="仿宋_GB2312" w:cs="Times New Roman"/>
          <w:color w:val="auto"/>
          <w:kern w:val="2"/>
          <w:sz w:val="32"/>
          <w:szCs w:val="32"/>
          <w:u w:val="single"/>
          <w:lang w:val="zh-CN" w:eastAsia="zh-CN" w:bidi="ar-SA"/>
        </w:rPr>
        <w:t>年初预算后因为有新增人员和调增工资的人员所以有追加的人员经费预算</w:t>
      </w:r>
      <w:r>
        <w:rPr>
          <w:rFonts w:hint="default" w:ascii="Times New Roman" w:hAnsi="Times New Roman" w:eastAsia="仿宋_GB2312" w:cs="Times New Roman"/>
          <w:color w:val="auto"/>
          <w:kern w:val="2"/>
          <w:sz w:val="32"/>
          <w:szCs w:val="32"/>
          <w:lang w:val="zh-CN" w:eastAsia="zh-CN" w:bidi="ar-SA"/>
        </w:rPr>
        <w:t>；本年支出1,268.27万元，完成年初预算的106.4%，比年初预算增加</w:t>
      </w:r>
      <w:r>
        <w:rPr>
          <w:rFonts w:hint="eastAsia" w:ascii="Times New Roman" w:hAnsi="Times New Roman" w:eastAsia="仿宋_GB2312" w:cs="Times New Roman"/>
          <w:color w:val="auto"/>
          <w:kern w:val="2"/>
          <w:sz w:val="32"/>
          <w:szCs w:val="32"/>
          <w:lang w:val="en-US" w:eastAsia="zh-CN" w:bidi="ar-SA"/>
        </w:rPr>
        <w:t>76.34</w:t>
      </w:r>
      <w:r>
        <w:rPr>
          <w:rFonts w:hint="default" w:ascii="Times New Roman" w:hAnsi="Times New Roman" w:eastAsia="仿宋_GB2312" w:cs="Times New Roman"/>
          <w:color w:val="auto"/>
          <w:kern w:val="2"/>
          <w:sz w:val="32"/>
          <w:szCs w:val="32"/>
          <w:lang w:val="zh-CN" w:eastAsia="zh-CN" w:bidi="ar-SA"/>
        </w:rPr>
        <w:t>万元，决算数</w:t>
      </w:r>
      <w:r>
        <w:rPr>
          <w:rFonts w:hint="default" w:ascii="Times New Roman" w:hAnsi="Times New Roman" w:eastAsia="仿宋_GB2312" w:cs="Times New Roman"/>
          <w:kern w:val="2"/>
          <w:sz w:val="32"/>
          <w:szCs w:val="32"/>
          <w:lang w:val="zh-CN"/>
        </w:rPr>
        <w:t>大于预算数主要原因是</w:t>
      </w:r>
      <w:r>
        <w:rPr>
          <w:rFonts w:hint="eastAsia" w:ascii="Times New Roman" w:hAnsi="Times New Roman" w:eastAsia="仿宋_GB2312" w:cs="Times New Roman"/>
          <w:color w:val="auto"/>
          <w:kern w:val="2"/>
          <w:sz w:val="32"/>
          <w:szCs w:val="32"/>
          <w:u w:val="single"/>
          <w:lang w:val="zh-CN" w:eastAsia="zh-CN" w:bidi="ar-SA"/>
        </w:rPr>
        <w:t>年初预算后因为有新增人员和调增工资的人员所以有追加的人员经费预算</w:t>
      </w:r>
      <w:r>
        <w:rPr>
          <w:rFonts w:hint="eastAsia" w:ascii="Times New Roman" w:hAnsi="Times New Roman" w:eastAsia="仿宋_GB2312" w:cs="Times New Roman"/>
          <w:kern w:val="2"/>
          <w:sz w:val="32"/>
          <w:szCs w:val="32"/>
          <w:lang w:val="zh-CN"/>
        </w:rPr>
        <w:t>，</w:t>
      </w:r>
      <w:r>
        <w:rPr>
          <w:rFonts w:hint="eastAsia" w:ascii="Times New Roman" w:hAnsi="Times New Roman" w:eastAsia="仿宋_GB2312" w:cs="Times New Roman"/>
          <w:color w:val="auto"/>
          <w:kern w:val="2"/>
          <w:sz w:val="32"/>
          <w:szCs w:val="32"/>
          <w:u w:val="single"/>
          <w:lang w:val="zh-CN" w:eastAsia="zh-CN" w:bidi="ar-SA"/>
        </w:rPr>
        <w:t>因此本年支出也较年初预算有所增加。</w:t>
      </w:r>
      <w:r>
        <w:rPr>
          <w:rFonts w:hint="default" w:ascii="Times New Roman" w:hAnsi="Times New Roman" w:eastAsia="仿宋_GB2312" w:cs="Times New Roman"/>
          <w:kern w:val="2"/>
          <w:sz w:val="32"/>
          <w:szCs w:val="32"/>
          <w:lang w:val="zh-CN"/>
        </w:rPr>
        <w:t>具体情况如下：</w:t>
      </w:r>
    </w:p>
    <w:p w14:paraId="49899011">
      <w:pPr>
        <w:numPr>
          <w:ilvl w:val="0"/>
          <w:numId w:val="3"/>
        </w:num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收入1,268.27万元，完成年初预算的 106.4%，比年初预算</w:t>
      </w:r>
      <w:r>
        <w:rPr>
          <w:rFonts w:hint="default" w:ascii="Times New Roman" w:hAnsi="Times New Roman" w:eastAsia="仿宋_GB2312" w:cs="Times New Roman"/>
          <w:color w:val="auto"/>
          <w:kern w:val="2"/>
          <w:sz w:val="32"/>
          <w:szCs w:val="32"/>
          <w:lang w:val="zh-CN" w:eastAsia="zh-CN" w:bidi="ar-SA"/>
        </w:rPr>
        <w:t>增加</w:t>
      </w:r>
      <w:r>
        <w:rPr>
          <w:rFonts w:hint="eastAsia" w:ascii="Times New Roman" w:hAnsi="Times New Roman" w:eastAsia="仿宋_GB2312" w:cs="Times New Roman"/>
          <w:color w:val="auto"/>
          <w:kern w:val="2"/>
          <w:sz w:val="32"/>
          <w:szCs w:val="32"/>
          <w:lang w:val="en-US" w:eastAsia="zh-CN" w:bidi="ar-SA"/>
        </w:rPr>
        <w:t>76.34</w:t>
      </w:r>
      <w:r>
        <w:rPr>
          <w:rFonts w:hint="default" w:ascii="Times New Roman" w:hAnsi="Times New Roman" w:eastAsia="仿宋_GB2312" w:cs="Times New Roman"/>
          <w:color w:val="auto"/>
          <w:kern w:val="2"/>
          <w:sz w:val="32"/>
          <w:szCs w:val="32"/>
          <w:lang w:val="zh-CN" w:eastAsia="zh-CN" w:bidi="ar-SA"/>
        </w:rPr>
        <w:t>万元，决算数</w:t>
      </w:r>
      <w:r>
        <w:rPr>
          <w:rFonts w:hint="default" w:ascii="Times New Roman" w:hAnsi="Times New Roman" w:eastAsia="仿宋_GB2312" w:cs="Times New Roman"/>
          <w:kern w:val="2"/>
          <w:sz w:val="32"/>
          <w:szCs w:val="32"/>
          <w:lang w:val="zh-CN"/>
        </w:rPr>
        <w:t>大于预算数主要原因是</w:t>
      </w:r>
      <w:r>
        <w:rPr>
          <w:rFonts w:hint="eastAsia" w:ascii="Times New Roman" w:hAnsi="Times New Roman" w:eastAsia="仿宋_GB2312" w:cs="Times New Roman"/>
          <w:color w:val="auto"/>
          <w:kern w:val="2"/>
          <w:sz w:val="32"/>
          <w:szCs w:val="32"/>
          <w:u w:val="single"/>
          <w:lang w:val="zh-CN" w:eastAsia="zh-CN" w:bidi="ar-SA"/>
        </w:rPr>
        <w:t>年初预算后因为有新增人员和调增工资的人员所以有追加的人员经费预算</w:t>
      </w:r>
      <w:r>
        <w:rPr>
          <w:rFonts w:hint="default" w:ascii="Times New Roman" w:hAnsi="Times New Roman" w:eastAsia="仿宋_GB2312" w:cs="Times New Roman"/>
          <w:kern w:val="2"/>
          <w:sz w:val="32"/>
          <w:szCs w:val="32"/>
          <w:lang w:val="zh-CN"/>
        </w:rPr>
        <w:t>；本年支出1,268.27万元，完成年初预算的106.4%，比年初预算</w:t>
      </w:r>
      <w:r>
        <w:rPr>
          <w:rFonts w:hint="default" w:ascii="Times New Roman" w:hAnsi="Times New Roman" w:eastAsia="仿宋_GB2312" w:cs="Times New Roman"/>
          <w:color w:val="auto"/>
          <w:kern w:val="2"/>
          <w:sz w:val="32"/>
          <w:szCs w:val="32"/>
          <w:lang w:val="zh-CN" w:eastAsia="zh-CN" w:bidi="ar-SA"/>
        </w:rPr>
        <w:t>增加</w:t>
      </w:r>
      <w:r>
        <w:rPr>
          <w:rFonts w:hint="eastAsia" w:ascii="Times New Roman" w:hAnsi="Times New Roman" w:eastAsia="仿宋_GB2312" w:cs="Times New Roman"/>
          <w:color w:val="auto"/>
          <w:kern w:val="2"/>
          <w:sz w:val="32"/>
          <w:szCs w:val="32"/>
          <w:lang w:val="en-US" w:eastAsia="zh-CN" w:bidi="ar-SA"/>
        </w:rPr>
        <w:t>76.34</w:t>
      </w:r>
      <w:r>
        <w:rPr>
          <w:rFonts w:hint="default" w:ascii="Times New Roman" w:hAnsi="Times New Roman" w:eastAsia="仿宋_GB2312" w:cs="Times New Roman"/>
          <w:color w:val="auto"/>
          <w:kern w:val="2"/>
          <w:sz w:val="32"/>
          <w:szCs w:val="32"/>
          <w:lang w:val="zh-CN" w:eastAsia="zh-CN" w:bidi="ar-SA"/>
        </w:rPr>
        <w:t>万元，决算数</w:t>
      </w:r>
      <w:r>
        <w:rPr>
          <w:rFonts w:hint="default" w:ascii="Times New Roman" w:hAnsi="Times New Roman" w:eastAsia="仿宋_GB2312" w:cs="Times New Roman"/>
          <w:kern w:val="2"/>
          <w:sz w:val="32"/>
          <w:szCs w:val="32"/>
          <w:lang w:val="zh-CN"/>
        </w:rPr>
        <w:t>大于预算数主要原因是</w:t>
      </w:r>
      <w:r>
        <w:rPr>
          <w:rFonts w:hint="eastAsia" w:ascii="Times New Roman" w:hAnsi="Times New Roman" w:eastAsia="仿宋_GB2312" w:cs="Times New Roman"/>
          <w:color w:val="auto"/>
          <w:kern w:val="2"/>
          <w:sz w:val="32"/>
          <w:szCs w:val="32"/>
          <w:u w:val="single"/>
          <w:lang w:val="zh-CN" w:eastAsia="zh-CN" w:bidi="ar-SA"/>
        </w:rPr>
        <w:t>年初预算后因为有新增人员和调增工资的人员所以有追加的人员经费预算，因此本年支出也较年初预算有所增加</w:t>
      </w:r>
      <w:r>
        <w:rPr>
          <w:rFonts w:hint="default" w:ascii="Times New Roman" w:hAnsi="Times New Roman" w:eastAsia="仿宋_GB2312" w:cs="Times New Roman"/>
          <w:kern w:val="2"/>
          <w:sz w:val="32"/>
          <w:szCs w:val="32"/>
          <w:lang w:val="zh-CN"/>
        </w:rPr>
        <w:t>。</w:t>
      </w:r>
    </w:p>
    <w:p w14:paraId="71FFF9ED">
      <w:pPr>
        <w:numPr>
          <w:ilvl w:val="0"/>
          <w:numId w:val="0"/>
        </w:numPr>
        <w:autoSpaceDE w:val="0"/>
        <w:autoSpaceDN w:val="0"/>
        <w:adjustRightInd w:val="0"/>
        <w:spacing w:line="580" w:lineRule="exact"/>
        <w:jc w:val="left"/>
        <w:rPr>
          <w:rFonts w:hint="default" w:ascii="Times New Roman" w:hAnsi="Times New Roman" w:eastAsia="仿宋_GB2312" w:cs="Times New Roman"/>
          <w:kern w:val="2"/>
          <w:sz w:val="32"/>
          <w:szCs w:val="32"/>
          <w:lang w:val="zh-CN"/>
        </w:rPr>
      </w:pPr>
      <w:r>
        <w:rPr>
          <w:rFonts w:hint="eastAsia" w:ascii="仿宋_GB2312" w:hAnsi="Times New Roman" w:eastAsia="仿宋_GB2312" w:cs="DengXian-Regular"/>
          <w:sz w:val="32"/>
          <w:szCs w:val="32"/>
          <w:highlight w:val="none"/>
          <w:lang w:eastAsia="zh-CN"/>
        </w:rPr>
        <w:drawing>
          <wp:anchor distT="0" distB="0" distL="114300" distR="114300" simplePos="0" relativeHeight="251668480" behindDoc="0" locked="0" layoutInCell="1" allowOverlap="1">
            <wp:simplePos x="0" y="0"/>
            <wp:positionH relativeFrom="column">
              <wp:posOffset>606425</wp:posOffset>
            </wp:positionH>
            <wp:positionV relativeFrom="paragraph">
              <wp:posOffset>-8105775</wp:posOffset>
            </wp:positionV>
            <wp:extent cx="4407535" cy="2129155"/>
            <wp:effectExtent l="4445" t="4445" r="7620" b="15240"/>
            <wp:wrapTopAndBottom/>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0CE00BD6">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政府性基金预算财政拨款本年收入0万元，</w:t>
      </w:r>
      <w:r>
        <w:rPr>
          <w:rFonts w:hint="eastAsia" w:ascii="Times New Roman" w:hAnsi="Times New Roman" w:eastAsia="仿宋_GB2312" w:cs="Times New Roman"/>
          <w:kern w:val="2"/>
          <w:sz w:val="32"/>
          <w:szCs w:val="32"/>
          <w:lang w:val="zh-CN"/>
        </w:rPr>
        <w:t>与上年持平</w:t>
      </w:r>
      <w:r>
        <w:rPr>
          <w:rFonts w:hint="default" w:ascii="Times New Roman" w:hAnsi="Times New Roman" w:eastAsia="仿宋_GB2312" w:cs="Times New Roman"/>
          <w:kern w:val="2"/>
          <w:sz w:val="32"/>
          <w:szCs w:val="32"/>
          <w:lang w:val="zh-CN"/>
        </w:rPr>
        <w:t>；本年支出0万元，完成年初预算的0%，</w:t>
      </w:r>
      <w:r>
        <w:rPr>
          <w:rFonts w:hint="eastAsia" w:ascii="Times New Roman" w:hAnsi="Times New Roman" w:eastAsia="仿宋_GB2312" w:cs="Times New Roman"/>
          <w:kern w:val="2"/>
          <w:sz w:val="32"/>
          <w:szCs w:val="32"/>
          <w:lang w:val="zh-CN"/>
        </w:rPr>
        <w:t>与上年持平</w:t>
      </w:r>
      <w:r>
        <w:rPr>
          <w:rFonts w:hint="default" w:ascii="Times New Roman" w:hAnsi="Times New Roman" w:eastAsia="仿宋_GB2312" w:cs="Times New Roman"/>
          <w:kern w:val="2"/>
          <w:sz w:val="32"/>
          <w:szCs w:val="32"/>
          <w:lang w:val="zh-CN"/>
        </w:rPr>
        <w:t>。</w:t>
      </w:r>
    </w:p>
    <w:p w14:paraId="06592E2E">
      <w:pPr>
        <w:autoSpaceDE w:val="0"/>
        <w:autoSpaceDN w:val="0"/>
        <w:adjustRightInd w:val="0"/>
        <w:spacing w:line="580" w:lineRule="exact"/>
        <w:ind w:firstLine="640" w:firstLineChars="200"/>
        <w:jc w:val="left"/>
        <w:rPr>
          <w:rFonts w:hint="default" w:ascii="Times New Roman" w:hAnsi="Times New Roman" w:eastAsia="仿宋_GB2312" w:cs="Times New Roman"/>
          <w:i w:val="0"/>
          <w:iCs w:val="0"/>
          <w:caps w:val="0"/>
          <w:color w:val="000000"/>
          <w:spacing w:val="0"/>
          <w:sz w:val="33"/>
          <w:szCs w:val="33"/>
          <w:highlight w:val="none"/>
          <w:shd w:val="clear" w:fill="FFFFFF"/>
        </w:rPr>
      </w:pPr>
      <w:r>
        <w:rPr>
          <w:rFonts w:hint="default" w:ascii="Times New Roman" w:hAnsi="Times New Roman" w:eastAsia="仿宋_GB2312" w:cs="Times New Roman"/>
          <w:kern w:val="2"/>
          <w:sz w:val="32"/>
          <w:szCs w:val="32"/>
          <w:lang w:val="zh-CN"/>
        </w:rPr>
        <w:t>3. 国有资本经营预算财政拨款本年收入0万元，</w:t>
      </w:r>
      <w:r>
        <w:rPr>
          <w:rFonts w:hint="eastAsia" w:ascii="Times New Roman" w:hAnsi="Times New Roman" w:eastAsia="仿宋_GB2312" w:cs="Times New Roman"/>
          <w:kern w:val="2"/>
          <w:sz w:val="32"/>
          <w:szCs w:val="32"/>
          <w:lang w:val="zh-CN"/>
        </w:rPr>
        <w:t>与上年持平</w:t>
      </w:r>
      <w:r>
        <w:rPr>
          <w:rFonts w:hint="default" w:ascii="Times New Roman" w:hAnsi="Times New Roman" w:eastAsia="仿宋_GB2312" w:cs="Times New Roman"/>
          <w:kern w:val="2"/>
          <w:sz w:val="32"/>
          <w:szCs w:val="32"/>
          <w:lang w:val="zh-CN"/>
        </w:rPr>
        <w:t>；本年支出0万元，</w:t>
      </w:r>
      <w:r>
        <w:rPr>
          <w:rFonts w:hint="eastAsia" w:ascii="Times New Roman" w:hAnsi="Times New Roman" w:eastAsia="仿宋_GB2312" w:cs="Times New Roman"/>
          <w:kern w:val="2"/>
          <w:sz w:val="32"/>
          <w:szCs w:val="32"/>
          <w:lang w:val="zh-CN"/>
        </w:rPr>
        <w:t>与上年持平</w:t>
      </w:r>
      <w:r>
        <w:rPr>
          <w:rFonts w:hint="default" w:ascii="Times New Roman" w:hAnsi="Times New Roman" w:eastAsia="仿宋_GB2312" w:cs="Times New Roman"/>
          <w:kern w:val="2"/>
          <w:sz w:val="32"/>
          <w:szCs w:val="32"/>
          <w:lang w:val="zh-CN"/>
        </w:rPr>
        <w:t>。</w:t>
      </w:r>
    </w:p>
    <w:p w14:paraId="39F845F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1E97894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14:paraId="428CD15E">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年度财政拨款支出1,268.27万元，主要用于以下方面：</w:t>
      </w:r>
    </w:p>
    <w:p w14:paraId="2ACCCD0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一般公共服务（类）支出0万元，占0%；</w:t>
      </w:r>
      <w:r>
        <w:rPr>
          <w:rFonts w:hint="default" w:ascii="Times New Roman" w:hAnsi="Times New Roman" w:eastAsia="仿宋_GB2312" w:cs="Times New Roman"/>
          <w:color w:val="auto"/>
          <w:kern w:val="2"/>
          <w:sz w:val="32"/>
          <w:szCs w:val="32"/>
          <w:lang w:val="en-US" w:eastAsia="zh-CN" w:bidi="ar-SA"/>
        </w:rPr>
        <w:t>外交</w:t>
      </w:r>
      <w:r>
        <w:rPr>
          <w:rFonts w:hint="default" w:ascii="Times New Roman" w:hAnsi="Times New Roman" w:eastAsia="仿宋_GB2312" w:cs="Times New Roman"/>
          <w:color w:val="auto"/>
          <w:kern w:val="2"/>
          <w:sz w:val="32"/>
          <w:szCs w:val="32"/>
          <w:lang w:val="zh-CN" w:eastAsia="zh-CN" w:bidi="ar-SA"/>
        </w:rPr>
        <w:t>（类）支出0万元，占0%；国防（类）支出0万元，占0%；公共安全类（类）支出997.13万元，占78.62%；教育（类）支出0万元，占0%；科学技术（类）支出0万元，占0%；文化旅游体育与传媒（类）支出0万元，占0%；社会保障和就业 （类）支出189.48万元，占14.94%；卫生健康（类）支出29.86万元，占2.35%；节能环保（类）支出0万元，占0%；城乡社区（类）支出0万元，占0%；农林水（类）支出0万元，占0%；交通运输（类）支出0万元，占0%；资源勘探信息等（类）支出0万元，占0%；商业服务业等（类）支出0万元，占0%；金融（类）支出0万元，占0%；援助其他地区（类）支出0万元，占0%；自然资源海洋气象等（类）支出0万元，占0%；住房保障（类）支出51.8万元，占4.08%；粮油物资储备（类）支出0万元，占0%；国有资本经营预算支出0万元，占0%；害防治及应急管理（类）支出0万元，占0%；其他（类）支出0万元，占0%；债务</w:t>
      </w:r>
      <w:r>
        <w:rPr>
          <w:rFonts w:hint="default" w:ascii="Times New Roman" w:hAnsi="Times New Roman" w:eastAsia="仿宋_GB2312" w:cs="Times New Roman"/>
          <w:color w:val="auto"/>
          <w:kern w:val="2"/>
          <w:sz w:val="32"/>
          <w:szCs w:val="32"/>
          <w:lang w:val="en-US" w:eastAsia="zh-CN" w:bidi="ar-SA"/>
        </w:rPr>
        <w:t>还本</w:t>
      </w:r>
      <w:r>
        <w:rPr>
          <w:rFonts w:hint="default" w:ascii="Times New Roman" w:hAnsi="Times New Roman" w:eastAsia="仿宋_GB2312" w:cs="Times New Roman"/>
          <w:color w:val="auto"/>
          <w:kern w:val="2"/>
          <w:sz w:val="32"/>
          <w:szCs w:val="32"/>
          <w:lang w:val="zh-CN" w:eastAsia="zh-CN" w:bidi="ar-SA"/>
        </w:rPr>
        <w:t>（类）支出0万元，占0%；债务付息（类）支出0万元，占0%；抗疫特别国债安排的支出0万 元，占0%。</w:t>
      </w:r>
    </w:p>
    <w:p w14:paraId="71AAFBA0">
      <w:pPr>
        <w:pStyle w:val="11"/>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r>
        <w:rPr>
          <w:rFonts w:hint="default" w:ascii="Times New Roman" w:hAnsi="Times New Roman" w:eastAsia="楷体_GB2312" w:cs="Times New Roman"/>
          <w:b/>
          <w:bCs/>
          <w:kern w:val="2"/>
          <w:sz w:val="32"/>
          <w:szCs w:val="32"/>
          <w:lang w:val="en-US" w:eastAsia="zh-CN" w:bidi="ar-SA"/>
        </w:rPr>
        <w:t>一般公共预算基本支出决算情况说明</w:t>
      </w:r>
    </w:p>
    <w:p w14:paraId="208B0E1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年度财政拨款基本支出1,027.58万元，其中：</w:t>
      </w:r>
    </w:p>
    <w:p w14:paraId="0925DCFC">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人员经费783.78万元，主要包括基本工资、津贴补贴、奖金、绩效工资、机关事业部门基本养老保险缴费、职业年金缴费、职工基本医疗保险缴费、公务员医疗补助缴费、住房公积金、其他社会保障缴费、</w:t>
      </w:r>
      <w:r>
        <w:rPr>
          <w:rFonts w:hint="eastAsia" w:ascii="Times New Roman" w:hAnsi="Times New Roman" w:eastAsia="仿宋_GB2312" w:cs="Times New Roman"/>
          <w:color w:val="auto"/>
          <w:kern w:val="2"/>
          <w:sz w:val="32"/>
          <w:szCs w:val="32"/>
          <w:lang w:val="zh-CN" w:eastAsia="zh-CN" w:bidi="ar-SA"/>
        </w:rPr>
        <w:t>其他工资和福利支出、</w:t>
      </w:r>
      <w:r>
        <w:rPr>
          <w:rFonts w:hint="default" w:ascii="Times New Roman" w:hAnsi="Times New Roman" w:eastAsia="仿宋_GB2312" w:cs="Times New Roman"/>
          <w:color w:val="auto"/>
          <w:kern w:val="2"/>
          <w:sz w:val="32"/>
          <w:szCs w:val="32"/>
          <w:lang w:val="zh-CN" w:eastAsia="zh-CN" w:bidi="ar-SA"/>
        </w:rPr>
        <w:t>退休费、 抚恤金、生活补助、奖励金</w:t>
      </w:r>
      <w:r>
        <w:rPr>
          <w:rFonts w:hint="eastAsia" w:ascii="Times New Roman" w:hAnsi="Times New Roman" w:eastAsia="仿宋_GB2312" w:cs="Times New Roman"/>
          <w:color w:val="auto"/>
          <w:kern w:val="2"/>
          <w:sz w:val="32"/>
          <w:szCs w:val="32"/>
          <w:lang w:val="zh-CN" w:eastAsia="zh-CN" w:bidi="ar-SA"/>
        </w:rPr>
        <w:t>、其他对个人和家庭的补助</w:t>
      </w:r>
      <w:r>
        <w:rPr>
          <w:rFonts w:hint="default" w:ascii="Times New Roman" w:hAnsi="Times New Roman" w:eastAsia="仿宋_GB2312" w:cs="Times New Roman"/>
          <w:color w:val="auto"/>
          <w:kern w:val="2"/>
          <w:sz w:val="32"/>
          <w:szCs w:val="32"/>
          <w:lang w:val="zh-CN" w:eastAsia="zh-CN" w:bidi="ar-SA"/>
        </w:rPr>
        <w:t>。</w:t>
      </w:r>
    </w:p>
    <w:p w14:paraId="54041CE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公用经费243.8万元，主要包括办公费、印刷费、水费、电费、邮电费、取 暖费、物业管理费、差旅费、、维修（护）费、培训费、公务接待费、劳务费、工会经费、福利费、公务用车运行维护费、其他交通费用、其他商品和服务支出、办公设备购置。</w:t>
      </w:r>
    </w:p>
    <w:p w14:paraId="09DE3A1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14:paraId="322E282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14:paraId="78E6338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年度“三公”经费财政拨款支出预算为18万元，支出决算为 17.25万元，完成预算的 95.81%，较预算减少</w:t>
      </w:r>
      <w:r>
        <w:rPr>
          <w:rFonts w:hint="eastAsia" w:ascii="Times New Roman" w:hAnsi="Times New Roman" w:eastAsia="仿宋_GB2312" w:cs="Times New Roman"/>
          <w:color w:val="auto"/>
          <w:kern w:val="2"/>
          <w:sz w:val="32"/>
          <w:szCs w:val="32"/>
          <w:lang w:val="en-US" w:eastAsia="zh-CN" w:bidi="ar-SA"/>
        </w:rPr>
        <w:t>0.75万</w:t>
      </w:r>
      <w:r>
        <w:rPr>
          <w:rFonts w:hint="default" w:ascii="Times New Roman" w:hAnsi="Times New Roman" w:eastAsia="仿宋_GB2312" w:cs="Times New Roman"/>
          <w:color w:val="auto"/>
          <w:kern w:val="2"/>
          <w:sz w:val="32"/>
          <w:szCs w:val="32"/>
          <w:lang w:val="zh-CN" w:eastAsia="zh-CN" w:bidi="ar-SA"/>
        </w:rPr>
        <w:t>元，降低</w:t>
      </w:r>
      <w:r>
        <w:rPr>
          <w:rFonts w:hint="eastAsia" w:ascii="Times New Roman" w:hAnsi="Times New Roman" w:eastAsia="仿宋_GB2312" w:cs="Times New Roman"/>
          <w:color w:val="auto"/>
          <w:kern w:val="2"/>
          <w:sz w:val="32"/>
          <w:szCs w:val="32"/>
          <w:lang w:val="en-US" w:eastAsia="zh-CN" w:bidi="ar-SA"/>
        </w:rPr>
        <w:t>4.17</w:t>
      </w:r>
      <w:r>
        <w:rPr>
          <w:rFonts w:hint="default" w:ascii="Times New Roman" w:hAnsi="Times New Roman" w:eastAsia="仿宋_GB2312" w:cs="Times New Roman"/>
          <w:color w:val="auto"/>
          <w:kern w:val="2"/>
          <w:sz w:val="32"/>
          <w:szCs w:val="32"/>
          <w:lang w:val="zh-CN" w:eastAsia="zh-CN" w:bidi="ar-SA"/>
        </w:rPr>
        <w:t>%，主要是</w:t>
      </w:r>
      <w:r>
        <w:rPr>
          <w:rFonts w:hint="eastAsia" w:ascii="仿宋" w:hAnsi="仿宋" w:eastAsia="仿宋" w:cs="仿宋"/>
          <w:color w:val="auto"/>
          <w:kern w:val="2"/>
          <w:sz w:val="32"/>
          <w:szCs w:val="32"/>
          <w:u w:val="single"/>
          <w:lang w:val="zh-CN" w:eastAsia="zh-CN" w:bidi="ar-SA"/>
        </w:rPr>
        <w:t>贯彻落实中央“八项规定”精神和厉行节约要求，从严控制“三公”经费开支，</w:t>
      </w:r>
      <w:r>
        <w:rPr>
          <w:rFonts w:hint="eastAsia" w:ascii="仿宋" w:hAnsi="仿宋" w:eastAsia="仿宋" w:cs="仿宋"/>
          <w:color w:val="auto"/>
          <w:kern w:val="2"/>
          <w:sz w:val="32"/>
          <w:szCs w:val="32"/>
          <w:u w:val="single"/>
          <w:lang w:val="en-US" w:eastAsia="zh-CN" w:bidi="ar-SA"/>
        </w:rPr>
        <w:t>严格控制公务接待费支出和车辆用油支出</w:t>
      </w:r>
      <w:r>
        <w:rPr>
          <w:rFonts w:hint="default" w:ascii="Times New Roman" w:hAnsi="Times New Roman" w:eastAsia="仿宋_GB2312" w:cs="Times New Roman"/>
          <w:color w:val="auto"/>
          <w:kern w:val="2"/>
          <w:sz w:val="32"/>
          <w:szCs w:val="32"/>
          <w:lang w:val="zh-CN" w:eastAsia="zh-CN" w:bidi="ar-SA"/>
        </w:rPr>
        <w:t>；较2022年度决算增加</w:t>
      </w:r>
      <w:r>
        <w:rPr>
          <w:rFonts w:hint="eastAsia" w:ascii="Times New Roman" w:hAnsi="Times New Roman" w:eastAsia="仿宋_GB2312" w:cs="Times New Roman"/>
          <w:color w:val="auto"/>
          <w:kern w:val="2"/>
          <w:sz w:val="32"/>
          <w:szCs w:val="32"/>
          <w:lang w:val="en-US" w:eastAsia="zh-CN" w:bidi="ar-SA"/>
        </w:rPr>
        <w:t>0.41</w:t>
      </w:r>
      <w:r>
        <w:rPr>
          <w:rFonts w:hint="default" w:ascii="Times New Roman" w:hAnsi="Times New Roman" w:eastAsia="仿宋_GB2312" w:cs="Times New Roman"/>
          <w:color w:val="auto"/>
          <w:kern w:val="2"/>
          <w:sz w:val="32"/>
          <w:szCs w:val="32"/>
          <w:lang w:val="zh-CN" w:eastAsia="zh-CN" w:bidi="ar-SA"/>
        </w:rPr>
        <w:t>万元，增长降低</w:t>
      </w:r>
      <w:r>
        <w:rPr>
          <w:rFonts w:hint="eastAsia" w:ascii="Times New Roman" w:hAnsi="Times New Roman" w:eastAsia="仿宋_GB2312" w:cs="Times New Roman"/>
          <w:color w:val="auto"/>
          <w:kern w:val="2"/>
          <w:sz w:val="32"/>
          <w:szCs w:val="32"/>
          <w:lang w:val="en-US" w:eastAsia="zh-CN" w:bidi="ar-SA"/>
        </w:rPr>
        <w:t>2.43</w:t>
      </w:r>
      <w:r>
        <w:rPr>
          <w:rFonts w:hint="default" w:ascii="Times New Roman" w:hAnsi="Times New Roman" w:eastAsia="仿宋_GB2312" w:cs="Times New Roman"/>
          <w:color w:val="auto"/>
          <w:kern w:val="2"/>
          <w:sz w:val="32"/>
          <w:szCs w:val="32"/>
          <w:lang w:val="zh-CN" w:eastAsia="zh-CN" w:bidi="ar-SA"/>
        </w:rPr>
        <w:t>%，主要是</w:t>
      </w:r>
      <w:r>
        <w:rPr>
          <w:rFonts w:hint="eastAsia" w:ascii="仿宋" w:hAnsi="仿宋" w:eastAsia="仿宋" w:cs="仿宋"/>
          <w:color w:val="auto"/>
          <w:kern w:val="2"/>
          <w:sz w:val="32"/>
          <w:szCs w:val="32"/>
          <w:u w:val="single"/>
          <w:lang w:val="en-US" w:eastAsia="zh-CN" w:bidi="ar-SA"/>
        </w:rPr>
        <w:t>2023年是检察院财物上划承德市财政管理的第一年，因此在用车方面较以前增多，导致三公经费相应增加。</w:t>
      </w:r>
      <w:r>
        <w:rPr>
          <w:rFonts w:hint="eastAsia" w:ascii="仿宋_GB2312" w:hAnsi="Times New Roman" w:eastAsia="仿宋_GB2312" w:cs="DengXian-Regular"/>
          <w:sz w:val="32"/>
          <w:szCs w:val="32"/>
          <w:highlight w:val="none"/>
          <w:lang w:val="en-US" w:eastAsia="zh-CN"/>
        </w:rPr>
        <w:t>但是为了</w:t>
      </w:r>
      <w:r>
        <w:rPr>
          <w:rFonts w:hint="eastAsia" w:ascii="仿宋" w:hAnsi="仿宋" w:eastAsia="仿宋" w:cs="仿宋"/>
          <w:sz w:val="32"/>
          <w:szCs w:val="32"/>
          <w:highlight w:val="none"/>
        </w:rPr>
        <w:t>贯彻落实中央“八项规定”精神和厉行节约要求，从严控制“三公”经费开支，</w:t>
      </w:r>
      <w:r>
        <w:rPr>
          <w:rFonts w:hint="eastAsia" w:ascii="仿宋" w:hAnsi="仿宋" w:eastAsia="仿宋" w:cs="仿宋"/>
          <w:sz w:val="32"/>
          <w:szCs w:val="32"/>
          <w:highlight w:val="none"/>
          <w:lang w:val="en-US" w:eastAsia="zh-CN"/>
        </w:rPr>
        <w:t>严格控制公务接待费支出和车辆用油支出,</w:t>
      </w:r>
      <w:r>
        <w:rPr>
          <w:rFonts w:hint="eastAsia" w:ascii="仿宋" w:hAnsi="仿宋" w:eastAsia="仿宋" w:cs="仿宋"/>
          <w:sz w:val="32"/>
          <w:szCs w:val="32"/>
          <w:highlight w:val="none"/>
        </w:rPr>
        <w:t>全年实际支出</w:t>
      </w:r>
      <w:r>
        <w:rPr>
          <w:rFonts w:hint="eastAsia" w:ascii="仿宋" w:hAnsi="仿宋" w:eastAsia="仿宋" w:cs="仿宋"/>
          <w:sz w:val="32"/>
          <w:szCs w:val="32"/>
          <w:highlight w:val="none"/>
          <w:lang w:val="en-US" w:eastAsia="zh-CN"/>
        </w:rPr>
        <w:t>并没有超出预算</w:t>
      </w:r>
      <w:r>
        <w:rPr>
          <w:rFonts w:hint="default" w:ascii="Times New Roman" w:hAnsi="Times New Roman" w:eastAsia="仿宋_GB2312" w:cs="Times New Roman"/>
          <w:color w:val="auto"/>
          <w:kern w:val="2"/>
          <w:sz w:val="32"/>
          <w:szCs w:val="32"/>
          <w:lang w:val="zh-CN" w:eastAsia="zh-CN" w:bidi="ar-SA"/>
        </w:rPr>
        <w:t>。</w:t>
      </w:r>
    </w:p>
    <w:p w14:paraId="34DB71E4">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14:paraId="52D87BDF">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本单位</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w:t>
      </w:r>
      <w:r>
        <w:rPr>
          <w:rFonts w:hint="eastAsia" w:ascii="Times New Roman" w:hAnsi="Times New Roman" w:eastAsia="仿宋_GB2312" w:cs="Times New Roman"/>
          <w:color w:val="auto"/>
          <w:kern w:val="2"/>
          <w:sz w:val="32"/>
          <w:szCs w:val="32"/>
          <w:lang w:val="en-US" w:eastAsia="zh-CN" w:bidi="ar-SA"/>
        </w:rPr>
        <w:t>与上年持平</w:t>
      </w:r>
      <w:r>
        <w:rPr>
          <w:rFonts w:hint="default" w:ascii="Times New Roman" w:hAnsi="Times New Roman" w:eastAsia="仿宋_GB2312" w:cs="Times New Roman"/>
          <w:color w:val="auto"/>
          <w:kern w:val="2"/>
          <w:sz w:val="32"/>
          <w:szCs w:val="32"/>
          <w:lang w:val="en-US" w:eastAsia="zh-CN" w:bidi="ar-SA"/>
        </w:rPr>
        <w:t>。因公出国（境）团组0个、</w:t>
      </w:r>
      <w:r>
        <w:rPr>
          <w:rFonts w:hint="eastAsia" w:ascii="Times New Roman" w:hAnsi="Times New Roman" w:eastAsia="仿宋_GB2312" w:cs="Times New Roman"/>
          <w:color w:val="auto"/>
          <w:kern w:val="2"/>
          <w:sz w:val="32"/>
          <w:szCs w:val="32"/>
          <w:lang w:val="en-US" w:eastAsia="zh-CN" w:bidi="ar-SA"/>
        </w:rPr>
        <w:t>与上年持平</w:t>
      </w:r>
      <w:r>
        <w:rPr>
          <w:rFonts w:hint="default" w:ascii="Times New Roman" w:hAnsi="Times New Roman" w:eastAsia="仿宋_GB2312" w:cs="Times New Roman"/>
          <w:color w:val="auto"/>
          <w:kern w:val="2"/>
          <w:sz w:val="32"/>
          <w:szCs w:val="32"/>
          <w:lang w:val="en-US" w:eastAsia="zh-CN" w:bidi="ar-SA"/>
        </w:rPr>
        <w:t>。</w:t>
      </w:r>
    </w:p>
    <w:p w14:paraId="40E15F8D">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年度公务用车购置及运行维护费预算为15.7万元，支出决算 15.7万元，完成预算的100%,</w:t>
      </w:r>
      <w:r>
        <w:rPr>
          <w:rFonts w:hint="eastAsia" w:ascii="Times New Roman" w:hAnsi="Times New Roman" w:eastAsia="仿宋_GB2312" w:cs="Times New Roman"/>
          <w:color w:val="auto"/>
          <w:kern w:val="2"/>
          <w:sz w:val="32"/>
          <w:szCs w:val="32"/>
          <w:lang w:val="zh-CN" w:eastAsia="zh-CN" w:bidi="ar-SA"/>
        </w:rPr>
        <w:t>与年初预算持平</w:t>
      </w:r>
      <w:r>
        <w:rPr>
          <w:rFonts w:hint="default" w:ascii="Times New Roman" w:hAnsi="Times New Roman" w:eastAsia="仿宋_GB2312" w:cs="Times New Roman"/>
          <w:color w:val="auto"/>
          <w:kern w:val="2"/>
          <w:sz w:val="32"/>
          <w:szCs w:val="32"/>
          <w:lang w:val="zh-CN" w:eastAsia="zh-CN" w:bidi="ar-SA"/>
        </w:rPr>
        <w:t>；较上年减少</w:t>
      </w:r>
      <w:r>
        <w:rPr>
          <w:rFonts w:hint="eastAsia" w:ascii="Times New Roman" w:hAnsi="Times New Roman" w:eastAsia="仿宋_GB2312" w:cs="Times New Roman"/>
          <w:color w:val="auto"/>
          <w:kern w:val="2"/>
          <w:sz w:val="32"/>
          <w:szCs w:val="32"/>
          <w:lang w:val="en-US" w:eastAsia="zh-CN" w:bidi="ar-SA"/>
        </w:rPr>
        <w:t>0.66</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4.03</w:t>
      </w:r>
      <w:r>
        <w:rPr>
          <w:rFonts w:hint="default" w:ascii="Times New Roman" w:hAnsi="Times New Roman" w:eastAsia="仿宋_GB2312" w:cs="Times New Roman"/>
          <w:color w:val="auto"/>
          <w:kern w:val="2"/>
          <w:sz w:val="32"/>
          <w:szCs w:val="32"/>
          <w:lang w:val="zh-CN" w:eastAsia="zh-CN" w:bidi="ar-SA"/>
        </w:rPr>
        <w:t>%,主要是</w:t>
      </w:r>
      <w:r>
        <w:rPr>
          <w:rFonts w:hint="eastAsia" w:ascii="仿宋" w:hAnsi="仿宋" w:eastAsia="仿宋" w:cs="仿宋"/>
          <w:color w:val="auto"/>
          <w:kern w:val="2"/>
          <w:sz w:val="32"/>
          <w:szCs w:val="32"/>
          <w:u w:val="single"/>
          <w:lang w:val="zh-CN" w:eastAsia="zh-CN" w:bidi="ar-SA"/>
        </w:rPr>
        <w:t>贯彻落实中央“八项规定”精神和厉行节约要求，从严控制“三公”经费开支，</w:t>
      </w:r>
      <w:r>
        <w:rPr>
          <w:rFonts w:hint="eastAsia" w:ascii="仿宋" w:hAnsi="仿宋" w:eastAsia="仿宋" w:cs="仿宋"/>
          <w:color w:val="auto"/>
          <w:kern w:val="2"/>
          <w:sz w:val="32"/>
          <w:szCs w:val="32"/>
          <w:u w:val="single"/>
          <w:lang w:val="en-US" w:eastAsia="zh-CN" w:bidi="ar-SA"/>
        </w:rPr>
        <w:t>严格控制公务接待费支出和车辆用油支出</w:t>
      </w:r>
      <w:r>
        <w:rPr>
          <w:rFonts w:hint="eastAsia" w:ascii="仿宋" w:hAnsi="仿宋" w:eastAsia="仿宋" w:cs="仿宋"/>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其中：</w:t>
      </w:r>
    </w:p>
    <w:p w14:paraId="16051B55">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Arial" w:cs="Times New Roman"/>
          <w:highlight w:val="none"/>
        </w:rPr>
      </w:pPr>
    </w:p>
    <w:p w14:paraId="36665924">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eastAsia" w:ascii="Times New Roman" w:hAnsi="Times New Roman" w:eastAsia="楷体_GB2312" w:cs="Times New Roman"/>
          <w:b/>
          <w:bCs/>
          <w:sz w:val="32"/>
          <w:szCs w:val="32"/>
          <w:lang w:eastAsia="zh-CN"/>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w:t>
      </w:r>
      <w:r>
        <w:rPr>
          <w:rFonts w:hint="eastAsia" w:ascii="Times New Roman" w:hAnsi="Times New Roman" w:eastAsia="仿宋_GB2312" w:cs="Times New Roman"/>
          <w:color w:val="auto"/>
          <w:kern w:val="2"/>
          <w:sz w:val="32"/>
          <w:szCs w:val="32"/>
          <w:lang w:val="zh-CN" w:eastAsia="zh-CN" w:bidi="ar-SA"/>
        </w:rPr>
        <w:t>与上年持平</w:t>
      </w:r>
      <w:r>
        <w:rPr>
          <w:rFonts w:hint="default" w:ascii="Times New Roman" w:hAnsi="Times New Roman" w:eastAsia="仿宋_GB2312" w:cs="Times New Roman"/>
          <w:color w:val="auto"/>
          <w:kern w:val="2"/>
          <w:sz w:val="32"/>
          <w:szCs w:val="32"/>
          <w:lang w:val="zh-CN" w:eastAsia="zh-CN" w:bidi="ar-SA"/>
        </w:rPr>
        <w:t>。</w:t>
      </w:r>
    </w:p>
    <w:p w14:paraId="6AEE04F1">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15.7</w:t>
      </w:r>
      <w:r>
        <w:rPr>
          <w:rFonts w:hint="default" w:ascii="Times New Roman" w:hAnsi="Times New Roman" w:eastAsia="楷体_GB2312" w:cs="Times New Roman"/>
          <w:b/>
          <w:bCs/>
          <w:sz w:val="32"/>
          <w:szCs w:val="32"/>
        </w:rPr>
        <w:t>万元</w:t>
      </w:r>
      <w:r>
        <w:rPr>
          <w:rFonts w:hint="eastAsia" w:ascii="Times New Roman" w:hAnsi="Times New Roman" w:eastAsia="仿宋_GB2312" w:cs="Times New Roman"/>
          <w:b/>
          <w:sz w:val="32"/>
          <w:szCs w:val="32"/>
          <w:lang w:eastAsia="zh-CN"/>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年度单位公务用车保有量10辆，发生运行维护费支出15.7万元。公车运行维护费支出</w:t>
      </w:r>
      <w:r>
        <w:rPr>
          <w:rFonts w:hint="eastAsia" w:ascii="Times New Roman" w:hAnsi="Times New Roman" w:eastAsia="仿宋_GB2312" w:cs="Times New Roman"/>
          <w:color w:val="auto"/>
          <w:kern w:val="2"/>
          <w:sz w:val="32"/>
          <w:szCs w:val="32"/>
          <w:lang w:val="zh-CN" w:eastAsia="zh-CN" w:bidi="ar-SA"/>
        </w:rPr>
        <w:t>与本年年初预算持平</w:t>
      </w:r>
      <w:r>
        <w:rPr>
          <w:rFonts w:hint="default" w:ascii="Times New Roman" w:hAnsi="Times New Roman" w:eastAsia="仿宋_GB2312" w:cs="Times New Roman"/>
          <w:color w:val="auto"/>
          <w:kern w:val="2"/>
          <w:sz w:val="32"/>
          <w:szCs w:val="32"/>
          <w:lang w:val="zh-CN" w:eastAsia="zh-CN" w:bidi="ar-SA"/>
        </w:rPr>
        <w:t>；较上年上年减少</w:t>
      </w:r>
      <w:r>
        <w:rPr>
          <w:rFonts w:hint="eastAsia" w:ascii="Times New Roman" w:hAnsi="Times New Roman" w:eastAsia="仿宋_GB2312" w:cs="Times New Roman"/>
          <w:color w:val="auto"/>
          <w:kern w:val="2"/>
          <w:sz w:val="32"/>
          <w:szCs w:val="32"/>
          <w:lang w:val="en-US" w:eastAsia="zh-CN" w:bidi="ar-SA"/>
        </w:rPr>
        <w:t>0.66</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4.03</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Fonts w:hint="eastAsia" w:ascii="仿宋" w:hAnsi="仿宋" w:eastAsia="仿宋" w:cs="仿宋"/>
          <w:color w:val="auto"/>
          <w:kern w:val="2"/>
          <w:sz w:val="32"/>
          <w:szCs w:val="32"/>
          <w:u w:val="single"/>
          <w:lang w:val="zh-CN" w:eastAsia="zh-CN" w:bidi="ar-SA"/>
        </w:rPr>
        <w:t>贯彻落实中央“八项规定”精神和厉行节约要求，从严控制“三公”经费开支，</w:t>
      </w:r>
      <w:r>
        <w:rPr>
          <w:rFonts w:hint="eastAsia" w:ascii="仿宋" w:hAnsi="仿宋" w:eastAsia="仿宋" w:cs="仿宋"/>
          <w:color w:val="auto"/>
          <w:kern w:val="2"/>
          <w:sz w:val="32"/>
          <w:szCs w:val="32"/>
          <w:u w:val="single"/>
          <w:lang w:val="en-US" w:eastAsia="zh-CN" w:bidi="ar-SA"/>
        </w:rPr>
        <w:t>严格控制公务接待费支出和车辆用油支出</w:t>
      </w:r>
      <w:r>
        <w:rPr>
          <w:rFonts w:hint="default" w:ascii="Times New Roman" w:hAnsi="Times New Roman" w:eastAsia="仿宋_GB2312" w:cs="Times New Roman"/>
          <w:color w:val="auto"/>
          <w:kern w:val="2"/>
          <w:sz w:val="32"/>
          <w:szCs w:val="32"/>
          <w:lang w:val="zh-CN" w:eastAsia="zh-CN" w:bidi="ar-SA"/>
        </w:rPr>
        <w:t>。</w:t>
      </w:r>
    </w:p>
    <w:p w14:paraId="7D8674E8">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年度公务接待费支出预算为2.3万元，支出决算1.54万元，完成预算的67.17%。公务接待费支出较预算减少</w:t>
      </w:r>
      <w:r>
        <w:rPr>
          <w:rFonts w:hint="eastAsia" w:ascii="Times New Roman" w:hAnsi="Times New Roman" w:eastAsia="仿宋_GB2312" w:cs="Times New Roman"/>
          <w:color w:val="auto"/>
          <w:kern w:val="2"/>
          <w:sz w:val="32"/>
          <w:szCs w:val="32"/>
          <w:lang w:val="en-US" w:eastAsia="zh-CN" w:bidi="ar-SA"/>
        </w:rPr>
        <w:t>0.76</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33.04</w:t>
      </w:r>
      <w:r>
        <w:rPr>
          <w:rFonts w:hint="default" w:ascii="Times New Roman" w:hAnsi="Times New Roman" w:eastAsia="仿宋_GB2312" w:cs="Times New Roman"/>
          <w:color w:val="auto"/>
          <w:kern w:val="2"/>
          <w:sz w:val="32"/>
          <w:szCs w:val="32"/>
          <w:lang w:val="zh-CN" w:eastAsia="zh-CN" w:bidi="ar-SA"/>
        </w:rPr>
        <w:t>%,主要是</w:t>
      </w:r>
      <w:r>
        <w:rPr>
          <w:rFonts w:hint="eastAsia" w:ascii="仿宋" w:hAnsi="仿宋" w:eastAsia="仿宋" w:cs="仿宋"/>
          <w:color w:val="auto"/>
          <w:kern w:val="2"/>
          <w:sz w:val="32"/>
          <w:szCs w:val="32"/>
          <w:u w:val="single"/>
          <w:lang w:val="zh-CN" w:eastAsia="zh-CN" w:bidi="ar-SA"/>
        </w:rPr>
        <w:t>贯彻落实中央“八项规定”精神和厉行节约要求，从严控制“三公”经费开支</w:t>
      </w:r>
      <w:r>
        <w:rPr>
          <w:rFonts w:hint="eastAsia" w:ascii="仿宋" w:hAnsi="仿宋" w:eastAsia="仿宋" w:cs="仿宋"/>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较上年度增加</w:t>
      </w:r>
      <w:r>
        <w:rPr>
          <w:rFonts w:hint="eastAsia" w:ascii="Times New Roman" w:hAnsi="Times New Roman" w:eastAsia="仿宋_GB2312" w:cs="Times New Roman"/>
          <w:color w:val="auto"/>
          <w:kern w:val="2"/>
          <w:sz w:val="32"/>
          <w:szCs w:val="32"/>
          <w:lang w:val="en-US" w:eastAsia="zh-CN" w:bidi="ar-SA"/>
        </w:rPr>
        <w:t>1.06</w:t>
      </w:r>
      <w:r>
        <w:rPr>
          <w:rFonts w:hint="default" w:ascii="Times New Roman" w:hAnsi="Times New Roman" w:eastAsia="仿宋_GB2312" w:cs="Times New Roman"/>
          <w:color w:val="auto"/>
          <w:kern w:val="2"/>
          <w:sz w:val="32"/>
          <w:szCs w:val="32"/>
          <w:lang w:val="zh-CN" w:eastAsia="zh-CN" w:bidi="ar-SA"/>
        </w:rPr>
        <w:t>万元，主要是</w:t>
      </w:r>
      <w:r>
        <w:rPr>
          <w:rFonts w:hint="eastAsia" w:ascii="仿宋" w:hAnsi="仿宋" w:eastAsia="仿宋" w:cs="仿宋"/>
          <w:color w:val="auto"/>
          <w:kern w:val="2"/>
          <w:sz w:val="32"/>
          <w:szCs w:val="32"/>
          <w:u w:val="single"/>
          <w:lang w:val="zh-CN" w:eastAsia="zh-CN" w:bidi="ar-SA"/>
        </w:rPr>
        <w:t>因为疫情原因，对于公务接待费用没有及时结账，这次公务接待费用包括了一些以前年度费用</w:t>
      </w:r>
      <w:r>
        <w:rPr>
          <w:rFonts w:hint="eastAsia" w:ascii="仿宋" w:hAnsi="仿宋" w:eastAsia="仿宋" w:cs="仿宋"/>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43</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220</w:t>
      </w:r>
      <w:r>
        <w:rPr>
          <w:rFonts w:hint="default" w:ascii="Times New Roman" w:hAnsi="Times New Roman" w:eastAsia="仿宋_GB2312" w:cs="Times New Roman"/>
          <w:color w:val="auto"/>
          <w:kern w:val="2"/>
          <w:sz w:val="32"/>
          <w:szCs w:val="32"/>
          <w:lang w:val="zh-CN" w:eastAsia="zh-CN" w:bidi="ar-SA"/>
        </w:rPr>
        <w:t>人次。</w:t>
      </w:r>
    </w:p>
    <w:p w14:paraId="0913FA2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60" w:firstLineChars="200"/>
        <w:jc w:val="both"/>
        <w:outlineLvl w:val="1"/>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14:paraId="4138E4B7">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年度机关运行经费支出243.8万元，较2022年度增加</w:t>
      </w:r>
      <w:r>
        <w:rPr>
          <w:rFonts w:hint="eastAsia" w:ascii="Times New Roman" w:hAnsi="Times New Roman" w:eastAsia="仿宋_GB2312" w:cs="Times New Roman"/>
          <w:color w:val="auto"/>
          <w:kern w:val="2"/>
          <w:sz w:val="32"/>
          <w:szCs w:val="32"/>
          <w:lang w:val="en-US" w:eastAsia="zh-CN" w:bidi="ar-SA"/>
        </w:rPr>
        <w:t>71.01</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41.09</w:t>
      </w:r>
      <w:r>
        <w:rPr>
          <w:rFonts w:hint="default" w:ascii="Times New Roman" w:hAnsi="Times New Roman" w:eastAsia="仿宋_GB2312" w:cs="Times New Roman"/>
          <w:color w:val="auto"/>
          <w:kern w:val="2"/>
          <w:sz w:val="32"/>
          <w:szCs w:val="32"/>
          <w:lang w:val="zh-CN" w:eastAsia="zh-CN" w:bidi="ar-SA"/>
        </w:rPr>
        <w:t>%。</w:t>
      </w:r>
      <w:r>
        <w:rPr>
          <w:rFonts w:hint="eastAsia" w:ascii="仿宋" w:hAnsi="仿宋" w:eastAsia="仿宋" w:cs="仿宋"/>
          <w:color w:val="auto"/>
          <w:kern w:val="2"/>
          <w:sz w:val="32"/>
          <w:szCs w:val="32"/>
          <w:lang w:val="zh-CN" w:eastAsia="zh-CN" w:bidi="ar-SA"/>
        </w:rPr>
        <w:t>主要原因是</w:t>
      </w:r>
      <w:r>
        <w:rPr>
          <w:rFonts w:hint="eastAsia" w:ascii="仿宋" w:hAnsi="仿宋" w:eastAsia="仿宋" w:cs="仿宋"/>
          <w:color w:val="auto"/>
          <w:kern w:val="2"/>
          <w:sz w:val="32"/>
          <w:szCs w:val="32"/>
          <w:u w:val="single"/>
          <w:lang w:val="en-US" w:eastAsia="zh-CN" w:bidi="ar-SA"/>
        </w:rPr>
        <w:t>2023年检察院财物上划市级财政统一管理后，将书记员经费列为公务运转项目类，另上划以前的人头费增加到每人每年2.8万</w:t>
      </w:r>
      <w:r>
        <w:rPr>
          <w:rFonts w:hint="eastAsia" w:ascii="仿宋" w:hAnsi="仿宋" w:eastAsia="仿宋" w:cs="仿宋"/>
          <w:color w:val="auto"/>
          <w:kern w:val="2"/>
          <w:sz w:val="32"/>
          <w:szCs w:val="32"/>
          <w:u w:val="single"/>
          <w:lang w:val="zh-CN" w:eastAsia="zh-CN" w:bidi="ar-SA"/>
        </w:rPr>
        <w:t>。</w:t>
      </w:r>
    </w:p>
    <w:p w14:paraId="1F04AC08">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14:paraId="27280F9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年度政府采购支出总额48.61万元，从采购类型来看，政府采购货物支出48.61万元、政府采购工程支出0万元、政府采购服务支出0万元。授予中小企业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0万元，占政府采购支出总额的0%，其中授予小微企业合同金额0万元，占政府采购支出总额的0%。</w:t>
      </w:r>
    </w:p>
    <w:p w14:paraId="2947BF35">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14:paraId="7098B689">
      <w:pPr>
        <w:adjustRightInd w:val="0"/>
        <w:snapToGrid w:val="0"/>
        <w:spacing w:line="580" w:lineRule="exact"/>
        <w:ind w:firstLine="640" w:firstLineChars="200"/>
        <w:rPr>
          <w:rFonts w:hint="default" w:ascii="Times New Roman" w:hAnsi="Times New Roman" w:eastAsia="仿宋_GB2312" w:cs="Times New Roman"/>
          <w:color w:val="auto"/>
          <w:kern w:val="2"/>
          <w:sz w:val="32"/>
          <w:szCs w:val="32"/>
          <w:lang w:val="zh-CN" w:eastAsia="zh-CN" w:bidi="ar-SA"/>
        </w:rPr>
      </w:pPr>
      <w:r>
        <w:rPr>
          <w:rFonts w:hint="eastAsia" w:ascii="仿宋_GB2312" w:hAnsi="Times New Roman" w:eastAsia="仿宋_GB2312" w:cs="DengXian-Regular"/>
          <w:sz w:val="32"/>
          <w:szCs w:val="32"/>
          <w:highlight w:val="none"/>
        </w:rPr>
        <w:t>截至202</w:t>
      </w:r>
      <w:r>
        <w:rPr>
          <w:rFonts w:hint="eastAsia" w:ascii="仿宋_GB2312" w:hAnsi="Times New Roman" w:eastAsia="仿宋_GB2312" w:cs="DengXian-Regular"/>
          <w:sz w:val="32"/>
          <w:szCs w:val="32"/>
          <w:highlight w:val="none"/>
          <w:lang w:val="en-US" w:eastAsia="zh-CN"/>
        </w:rPr>
        <w:t>3</w:t>
      </w:r>
      <w:r>
        <w:rPr>
          <w:rFonts w:hint="eastAsia" w:ascii="仿宋_GB2312" w:hAnsi="Times New Roman" w:eastAsia="仿宋_GB2312" w:cs="DengXian-Regular"/>
          <w:sz w:val="32"/>
          <w:szCs w:val="32"/>
          <w:highlight w:val="none"/>
        </w:rPr>
        <w:t>年12月31日，本部门共有车辆</w:t>
      </w:r>
      <w:r>
        <w:rPr>
          <w:rFonts w:hint="eastAsia" w:ascii="仿宋_GB2312" w:hAnsi="Times New Roman" w:eastAsia="仿宋_GB2312" w:cs="DengXian-Regular"/>
          <w:sz w:val="32"/>
          <w:szCs w:val="32"/>
          <w:highlight w:val="none"/>
          <w:lang w:val="en-US" w:eastAsia="zh-CN"/>
        </w:rPr>
        <w:t>10</w:t>
      </w:r>
      <w:r>
        <w:rPr>
          <w:rFonts w:hint="eastAsia" w:ascii="仿宋_GB2312" w:hAnsi="Times New Roman" w:eastAsia="仿宋_GB2312" w:cs="DengXian-Regular"/>
          <w:sz w:val="32"/>
          <w:szCs w:val="32"/>
          <w:highlight w:val="none"/>
        </w:rPr>
        <w:t>辆，</w:t>
      </w:r>
      <w:r>
        <w:rPr>
          <w:rFonts w:hint="eastAsia" w:ascii="仿宋_GB2312" w:hAnsi="Times New Roman" w:eastAsia="仿宋_GB2312" w:cs="DengXian-Regular"/>
          <w:sz w:val="32"/>
          <w:szCs w:val="32"/>
          <w:highlight w:val="none"/>
          <w:lang w:val="en-US" w:eastAsia="zh-CN"/>
        </w:rPr>
        <w:t>与上年保持一致</w:t>
      </w:r>
      <w:r>
        <w:rPr>
          <w:rFonts w:hint="eastAsia" w:ascii="仿宋_GB2312" w:hAnsi="Times New Roman" w:eastAsia="仿宋_GB2312" w:cs="DengXian-Regular"/>
          <w:sz w:val="32"/>
          <w:szCs w:val="32"/>
          <w:highlight w:val="none"/>
        </w:rPr>
        <w:t>。其中，副部（省）级及以上领导用车</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辆，主要领导干部用车</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辆，机要通信用车</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辆，应急保障用车</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辆，执法执勤用车</w:t>
      </w:r>
      <w:r>
        <w:rPr>
          <w:rFonts w:hint="eastAsia" w:ascii="仿宋_GB2312" w:hAnsi="Times New Roman" w:eastAsia="仿宋_GB2312" w:cs="DengXian-Regular"/>
          <w:sz w:val="32"/>
          <w:szCs w:val="32"/>
          <w:highlight w:val="none"/>
          <w:lang w:val="en-US" w:eastAsia="zh-CN"/>
        </w:rPr>
        <w:t>8</w:t>
      </w:r>
      <w:r>
        <w:rPr>
          <w:rFonts w:hint="eastAsia" w:ascii="仿宋_GB2312" w:hAnsi="Times New Roman" w:eastAsia="仿宋_GB2312" w:cs="DengXian-Regular"/>
          <w:sz w:val="32"/>
          <w:szCs w:val="32"/>
          <w:highlight w:val="none"/>
        </w:rPr>
        <w:t>辆，特种专业技术用车</w:t>
      </w:r>
      <w:r>
        <w:rPr>
          <w:rFonts w:hint="eastAsia" w:ascii="仿宋_GB2312" w:hAnsi="Times New Roman" w:eastAsia="仿宋_GB2312" w:cs="DengXian-Regular"/>
          <w:sz w:val="32"/>
          <w:szCs w:val="32"/>
          <w:highlight w:val="none"/>
          <w:lang w:val="en-US" w:eastAsia="zh-CN"/>
        </w:rPr>
        <w:t>1</w:t>
      </w:r>
      <w:r>
        <w:rPr>
          <w:rFonts w:hint="eastAsia" w:ascii="仿宋_GB2312" w:hAnsi="Times New Roman" w:eastAsia="仿宋_GB2312" w:cs="DengXian-Regular"/>
          <w:sz w:val="32"/>
          <w:szCs w:val="32"/>
          <w:highlight w:val="none"/>
        </w:rPr>
        <w:t>辆，离退休干部用车</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辆，其他用车</w:t>
      </w:r>
      <w:r>
        <w:rPr>
          <w:rFonts w:hint="eastAsia" w:ascii="仿宋_GB2312" w:hAnsi="Times New Roman" w:eastAsia="仿宋_GB2312" w:cs="DengXian-Regular"/>
          <w:sz w:val="32"/>
          <w:szCs w:val="32"/>
          <w:highlight w:val="none"/>
          <w:lang w:val="en-US" w:eastAsia="zh-CN"/>
        </w:rPr>
        <w:t>1</w:t>
      </w:r>
      <w:r>
        <w:rPr>
          <w:rFonts w:hint="eastAsia" w:ascii="仿宋_GB2312" w:hAnsi="Times New Roman" w:eastAsia="仿宋_GB2312" w:cs="DengXian-Regular"/>
          <w:sz w:val="32"/>
          <w:szCs w:val="32"/>
          <w:highlight w:val="none"/>
        </w:rPr>
        <w:t>辆；单位价值100万元以上设备（不含车辆）</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台（套）。</w:t>
      </w:r>
    </w:p>
    <w:p w14:paraId="7830A32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14:paraId="0E033E87">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14:paraId="2A6A0DC8">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102.55</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我单位</w:t>
      </w:r>
      <w:r>
        <w:rPr>
          <w:rFonts w:hint="eastAsia" w:ascii="Times New Roman" w:hAnsi="Times New Roman" w:eastAsia="仿宋_GB2312" w:cs="Times New Roman"/>
          <w:color w:val="auto"/>
          <w:kern w:val="2"/>
          <w:sz w:val="32"/>
          <w:szCs w:val="32"/>
          <w:lang w:val="en-US" w:eastAsia="zh-CN" w:bidi="ar-SA"/>
        </w:rPr>
        <w:t>2023年度无</w:t>
      </w:r>
      <w:r>
        <w:rPr>
          <w:rFonts w:hint="default" w:ascii="Times New Roman" w:hAnsi="Times New Roman" w:eastAsia="仿宋_GB2312" w:cs="Times New Roman"/>
          <w:color w:val="auto"/>
          <w:kern w:val="2"/>
          <w:sz w:val="32"/>
          <w:szCs w:val="32"/>
          <w:lang w:val="zh-CN" w:eastAsia="zh-CN" w:bidi="ar-SA"/>
        </w:rPr>
        <w:t>政府性基金预算项目</w:t>
      </w:r>
      <w:r>
        <w:rPr>
          <w:rFonts w:hint="eastAsia" w:ascii="Times New Roman" w:hAnsi="Times New Roman" w:eastAsia="仿宋_GB2312" w:cs="Times New Roman"/>
          <w:color w:val="auto"/>
          <w:kern w:val="2"/>
          <w:sz w:val="32"/>
          <w:szCs w:val="32"/>
          <w:lang w:val="zh-CN" w:eastAsia="zh-CN" w:bidi="ar-SA"/>
        </w:rPr>
        <w:t>和</w:t>
      </w:r>
      <w:r>
        <w:rPr>
          <w:rFonts w:hint="default" w:ascii="Times New Roman" w:hAnsi="Times New Roman" w:eastAsia="仿宋_GB2312" w:cs="Times New Roman"/>
          <w:color w:val="auto"/>
          <w:kern w:val="2"/>
          <w:sz w:val="32"/>
          <w:szCs w:val="32"/>
          <w:lang w:val="zh-CN" w:eastAsia="zh-CN" w:bidi="ar-SA"/>
        </w:rPr>
        <w:t>国有资本经营预算项目</w:t>
      </w:r>
      <w:r>
        <w:rPr>
          <w:rFonts w:hint="eastAsia" w:ascii="Times New Roman" w:hAnsi="Times New Roman" w:eastAsia="仿宋_GB2312" w:cs="Times New Roman"/>
          <w:color w:val="auto"/>
          <w:kern w:val="2"/>
          <w:sz w:val="32"/>
          <w:szCs w:val="32"/>
          <w:lang w:val="zh-CN" w:eastAsia="zh-CN" w:bidi="ar-SA"/>
        </w:rPr>
        <w:t>，因此没有对这两个项目进行自评</w:t>
      </w:r>
      <w:r>
        <w:rPr>
          <w:rFonts w:hint="default" w:ascii="Times New Roman" w:hAnsi="Times New Roman" w:eastAsia="仿宋_GB2312" w:cs="Times New Roman"/>
          <w:color w:val="auto"/>
          <w:kern w:val="2"/>
          <w:sz w:val="32"/>
          <w:szCs w:val="32"/>
          <w:lang w:val="zh-CN" w:eastAsia="zh-CN" w:bidi="ar-SA"/>
        </w:rPr>
        <w:t>。</w:t>
      </w:r>
    </w:p>
    <w:p w14:paraId="30B9D9AF">
      <w:pPr>
        <w:keepNext w:val="0"/>
        <w:keepLines w:val="0"/>
        <w:pageBreakBefore w:val="0"/>
        <w:widowControl w:val="0"/>
        <w:kinsoku/>
        <w:wordWrap/>
        <w:overflowPunct/>
        <w:topLinePunct w:val="0"/>
        <w:autoSpaceDE/>
        <w:autoSpaceDN/>
        <w:bidi w:val="0"/>
        <w:adjustRightInd/>
        <w:snapToGrid w:val="0"/>
        <w:spacing w:line="540" w:lineRule="exact"/>
        <w:ind w:firstLine="640" w:firstLineChars="200"/>
        <w:textAlignment w:val="auto"/>
        <w:rPr>
          <w:rFonts w:hint="eastAsia" w:ascii="仿宋" w:hAnsi="仿宋" w:eastAsia="仿宋" w:cs="仿宋"/>
          <w:sz w:val="32"/>
          <w:szCs w:val="32"/>
          <w:lang w:val="en-US" w:eastAsia="zh-CN"/>
        </w:rPr>
      </w:pPr>
      <w:r>
        <w:rPr>
          <w:rFonts w:hint="default" w:ascii="Times New Roman" w:hAnsi="Times New Roman" w:eastAsia="仿宋_GB2312" w:cs="Times New Roman"/>
          <w:color w:val="auto"/>
          <w:kern w:val="2"/>
          <w:sz w:val="32"/>
          <w:szCs w:val="32"/>
          <w:lang w:val="zh-CN" w:eastAsia="zh-CN" w:bidi="ar-SA"/>
        </w:rPr>
        <w:t>组织对“</w:t>
      </w:r>
      <w:r>
        <w:rPr>
          <w:rFonts w:hint="eastAsia" w:ascii="仿宋" w:hAnsi="仿宋" w:eastAsia="仿宋" w:cs="仿宋"/>
          <w:sz w:val="32"/>
          <w:szCs w:val="32"/>
          <w:lang w:val="en-US" w:eastAsia="zh-CN"/>
        </w:rPr>
        <w:t>运转类公用预算项目</w:t>
      </w:r>
      <w:r>
        <w:rPr>
          <w:rFonts w:hint="default" w:ascii="Times New Roman" w:hAnsi="Times New Roman" w:eastAsia="仿宋_GB2312" w:cs="Times New Roman"/>
          <w:color w:val="auto"/>
          <w:kern w:val="2"/>
          <w:sz w:val="32"/>
          <w:szCs w:val="32"/>
          <w:lang w:val="zh-CN" w:eastAsia="zh-CN" w:bidi="ar-SA"/>
        </w:rPr>
        <w:t>”“</w:t>
      </w:r>
      <w:r>
        <w:rPr>
          <w:rFonts w:hint="eastAsia" w:ascii="仿宋" w:hAnsi="仿宋" w:eastAsia="仿宋" w:cs="仿宋"/>
          <w:sz w:val="32"/>
          <w:szCs w:val="32"/>
          <w:lang w:val="en-US" w:eastAsia="zh-CN"/>
        </w:rPr>
        <w:t>聘用制书记员人员经费项目</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个项目开展了部门评价，涉及一般公共预算支出</w:t>
      </w:r>
      <w:r>
        <w:rPr>
          <w:rFonts w:hint="eastAsia" w:ascii="Times New Roman" w:hAnsi="Times New Roman" w:eastAsia="仿宋_GB2312" w:cs="Times New Roman"/>
          <w:color w:val="auto"/>
          <w:kern w:val="2"/>
          <w:sz w:val="32"/>
          <w:szCs w:val="32"/>
          <w:lang w:val="en-US" w:eastAsia="zh-CN" w:bidi="ar-SA"/>
        </w:rPr>
        <w:t>102.55</w:t>
      </w:r>
      <w:r>
        <w:rPr>
          <w:rFonts w:hint="default" w:ascii="Times New Roman" w:hAnsi="Times New Roman" w:eastAsia="仿宋_GB2312" w:cs="Times New Roman"/>
          <w:color w:val="auto"/>
          <w:kern w:val="2"/>
          <w:sz w:val="32"/>
          <w:szCs w:val="32"/>
          <w:lang w:val="zh-CN" w:eastAsia="zh-CN" w:bidi="ar-SA"/>
        </w:rPr>
        <w:t>万元，政府性基金预算支出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万元，国有资本经营预算支出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万元。从评价情况来看，</w:t>
      </w:r>
      <w:r>
        <w:rPr>
          <w:rFonts w:hint="eastAsia" w:ascii="仿宋" w:hAnsi="仿宋" w:eastAsia="仿宋" w:cs="仿宋"/>
          <w:sz w:val="32"/>
          <w:szCs w:val="32"/>
          <w:lang w:val="en-US" w:eastAsia="zh-CN"/>
        </w:rPr>
        <w:t>1.运转类公用预算项目，年初预算8.35万元，全年预算8.35万元，全年执行8.07万元。完成了年初设定的绩效目标，对检察办案和技术用房的水电暖和地下停车场定期进行了维修维护，对检察文化花园和院内地砖进行了维修维护。</w:t>
      </w:r>
    </w:p>
    <w:p w14:paraId="7096958E">
      <w:pPr>
        <w:keepNext w:val="0"/>
        <w:keepLines w:val="0"/>
        <w:pageBreakBefore w:val="0"/>
        <w:widowControl w:val="0"/>
        <w:kinsoku/>
        <w:wordWrap/>
        <w:overflowPunct/>
        <w:topLinePunct w:val="0"/>
        <w:autoSpaceDE/>
        <w:autoSpaceDN/>
        <w:bidi w:val="0"/>
        <w:adjustRightInd/>
        <w:snapToGrid w:val="0"/>
        <w:spacing w:line="540" w:lineRule="exact"/>
        <w:ind w:firstLine="640" w:firstLineChars="200"/>
        <w:textAlignment w:val="auto"/>
        <w:rPr>
          <w:rFonts w:hint="default" w:ascii="Times New Roman" w:hAnsi="Times New Roman" w:eastAsia="Arial" w:cs="Times New Roman"/>
          <w:highlight w:val="none"/>
        </w:rPr>
      </w:pPr>
      <w:r>
        <w:rPr>
          <w:rFonts w:hint="eastAsia" w:ascii="仿宋" w:hAnsi="仿宋" w:eastAsia="仿宋" w:cs="仿宋"/>
          <w:sz w:val="32"/>
          <w:szCs w:val="32"/>
          <w:lang w:val="en-US" w:eastAsia="zh-CN"/>
        </w:rPr>
        <w:t>2.聘用制书记员人员经费项目，年初预算94.20万元，全年预算数94.2万元，全年执行93.27万元。完成了年初设定的绩效目标，实现了对聘用制书记员2023年1-12月基本工资的发放，养老保险、工伤保险，失业保险，医疗保险，住房公积金的缴纳，发放和缴纳及时，15名书记员比较满意。</w:t>
      </w:r>
    </w:p>
    <w:p w14:paraId="2D6FE09B">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（二）部门决算中项目绩效自评结果（如有）</w:t>
      </w:r>
    </w:p>
    <w:p w14:paraId="4991BCED">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本单位在今年部门决算公开中反映</w:t>
      </w:r>
      <w:r>
        <w:rPr>
          <w:rFonts w:hint="eastAsia" w:ascii="Times New Roman" w:hAnsi="Times New Roman" w:eastAsia="仿宋_GB2312" w:cs="Times New Roman"/>
          <w:color w:val="auto"/>
          <w:kern w:val="2"/>
          <w:sz w:val="32"/>
          <w:szCs w:val="32"/>
          <w:lang w:val="zh-CN" w:eastAsia="zh-CN" w:bidi="ar-SA"/>
        </w:rPr>
        <w:t>“</w:t>
      </w:r>
      <w:r>
        <w:rPr>
          <w:rFonts w:hint="eastAsia" w:ascii="仿宋" w:hAnsi="仿宋" w:eastAsia="仿宋" w:cs="仿宋"/>
          <w:sz w:val="32"/>
          <w:szCs w:val="32"/>
          <w:lang w:val="en-US" w:eastAsia="zh-CN"/>
        </w:rPr>
        <w:t>运转类公用预算</w:t>
      </w:r>
      <w:r>
        <w:rPr>
          <w:rFonts w:hint="default" w:ascii="Times New Roman" w:hAnsi="Times New Roman" w:eastAsia="仿宋_GB2312" w:cs="Times New Roman"/>
          <w:color w:val="auto"/>
          <w:kern w:val="2"/>
          <w:sz w:val="32"/>
          <w:szCs w:val="32"/>
          <w:lang w:val="zh-CN" w:eastAsia="zh-CN" w:bidi="ar-SA"/>
        </w:rPr>
        <w:t>项目</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及</w:t>
      </w:r>
      <w:r>
        <w:rPr>
          <w:rFonts w:hint="eastAsia" w:ascii="Times New Roman" w:hAnsi="Times New Roman" w:eastAsia="仿宋_GB2312" w:cs="Times New Roman"/>
          <w:color w:val="auto"/>
          <w:kern w:val="2"/>
          <w:sz w:val="32"/>
          <w:szCs w:val="32"/>
          <w:lang w:val="zh-CN" w:eastAsia="zh-CN" w:bidi="ar-SA"/>
        </w:rPr>
        <w:t>“</w:t>
      </w:r>
      <w:r>
        <w:rPr>
          <w:rFonts w:hint="eastAsia" w:ascii="仿宋" w:hAnsi="仿宋" w:eastAsia="仿宋" w:cs="仿宋"/>
          <w:sz w:val="32"/>
          <w:szCs w:val="32"/>
          <w:lang w:val="en-US" w:eastAsia="zh-CN"/>
        </w:rPr>
        <w:t>聘用制书记员人员经费</w:t>
      </w:r>
      <w:r>
        <w:rPr>
          <w:rFonts w:hint="default" w:ascii="Times New Roman" w:hAnsi="Times New Roman" w:eastAsia="仿宋_GB2312" w:cs="Times New Roman"/>
          <w:color w:val="auto"/>
          <w:kern w:val="2"/>
          <w:sz w:val="32"/>
          <w:szCs w:val="32"/>
          <w:lang w:val="zh-CN" w:eastAsia="zh-CN" w:bidi="ar-SA"/>
        </w:rPr>
        <w:t>项目</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个项目绩效自评结果。</w:t>
      </w:r>
    </w:p>
    <w:p w14:paraId="28692370">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（1）运转类公用预算</w:t>
      </w:r>
      <w:r>
        <w:rPr>
          <w:rFonts w:hint="default" w:ascii="Times New Roman" w:hAnsi="Times New Roman" w:eastAsia="仿宋_GB2312" w:cs="Times New Roman"/>
          <w:color w:val="auto"/>
          <w:kern w:val="2"/>
          <w:sz w:val="32"/>
          <w:szCs w:val="32"/>
          <w:lang w:val="zh-CN" w:eastAsia="zh-CN" w:bidi="ar-SA"/>
        </w:rPr>
        <w:t>项目绩效自评情况：根据年初设定的绩效目标，</w:t>
      </w:r>
      <w:r>
        <w:rPr>
          <w:rFonts w:hint="eastAsia" w:ascii="仿宋" w:hAnsi="仿宋" w:eastAsia="仿宋" w:cs="仿宋"/>
          <w:sz w:val="32"/>
          <w:szCs w:val="32"/>
          <w:lang w:val="en-US" w:eastAsia="zh-CN"/>
        </w:rPr>
        <w:t>运转类公用预算</w:t>
      </w:r>
      <w:r>
        <w:rPr>
          <w:rFonts w:hint="default" w:ascii="Times New Roman" w:hAnsi="Times New Roman" w:eastAsia="仿宋_GB2312" w:cs="Times New Roman"/>
          <w:color w:val="auto"/>
          <w:kern w:val="2"/>
          <w:sz w:val="32"/>
          <w:szCs w:val="32"/>
          <w:lang w:val="zh-CN" w:eastAsia="zh-CN" w:bidi="ar-SA"/>
        </w:rPr>
        <w:t>项目绩效自评</w:t>
      </w:r>
      <w:r>
        <w:rPr>
          <w:rFonts w:hint="default" w:ascii="仿宋" w:hAnsi="仿宋" w:eastAsia="仿宋" w:cs="仿宋"/>
          <w:sz w:val="32"/>
          <w:szCs w:val="32"/>
          <w:lang w:val="zh-CN" w:eastAsia="zh-CN"/>
        </w:rPr>
        <w:t>得分为</w:t>
      </w:r>
      <w:r>
        <w:rPr>
          <w:rFonts w:hint="eastAsia" w:ascii="仿宋" w:hAnsi="仿宋" w:eastAsia="仿宋" w:cs="仿宋"/>
          <w:sz w:val="32"/>
          <w:szCs w:val="32"/>
          <w:lang w:val="en-US" w:eastAsia="zh-CN"/>
        </w:rPr>
        <w:t>97.7</w:t>
      </w:r>
      <w:r>
        <w:rPr>
          <w:rFonts w:hint="default" w:ascii="仿宋" w:hAnsi="仿宋" w:eastAsia="仿宋" w:cs="仿宋"/>
          <w:sz w:val="32"/>
          <w:szCs w:val="32"/>
          <w:lang w:val="zh-CN" w:eastAsia="zh-CN"/>
        </w:rPr>
        <w:t>分（绩效自评表附后）。全年预算数为</w:t>
      </w:r>
      <w:r>
        <w:rPr>
          <w:rFonts w:hint="eastAsia" w:ascii="仿宋" w:hAnsi="仿宋" w:eastAsia="仿宋" w:cs="仿宋"/>
          <w:sz w:val="32"/>
          <w:szCs w:val="32"/>
          <w:lang w:val="en-US" w:eastAsia="zh-CN"/>
        </w:rPr>
        <w:t>8.35</w:t>
      </w:r>
      <w:r>
        <w:rPr>
          <w:rFonts w:hint="default" w:ascii="仿宋" w:hAnsi="仿宋" w:eastAsia="仿宋" w:cs="仿宋"/>
          <w:sz w:val="32"/>
          <w:szCs w:val="32"/>
          <w:lang w:val="zh-CN" w:eastAsia="zh-CN"/>
        </w:rPr>
        <w:t>万元，执行数为</w:t>
      </w:r>
      <w:r>
        <w:rPr>
          <w:rFonts w:hint="eastAsia" w:ascii="仿宋" w:hAnsi="仿宋" w:eastAsia="仿宋" w:cs="仿宋"/>
          <w:sz w:val="32"/>
          <w:szCs w:val="32"/>
          <w:lang w:val="en-US" w:eastAsia="zh-CN"/>
        </w:rPr>
        <w:t>8.07</w:t>
      </w:r>
      <w:r>
        <w:rPr>
          <w:rFonts w:hint="default" w:ascii="仿宋" w:hAnsi="仿宋" w:eastAsia="仿宋" w:cs="仿宋"/>
          <w:sz w:val="32"/>
          <w:szCs w:val="32"/>
          <w:lang w:val="zh-CN" w:eastAsia="zh-CN"/>
        </w:rPr>
        <w:t>万元，完成预算的</w:t>
      </w:r>
      <w:r>
        <w:rPr>
          <w:rFonts w:hint="eastAsia" w:ascii="仿宋" w:hAnsi="仿宋" w:eastAsia="仿宋" w:cs="仿宋"/>
          <w:sz w:val="32"/>
          <w:szCs w:val="32"/>
          <w:lang w:val="en-US" w:eastAsia="zh-CN"/>
        </w:rPr>
        <w:t>96.65</w:t>
      </w:r>
      <w:r>
        <w:rPr>
          <w:rFonts w:hint="default" w:ascii="仿宋" w:hAnsi="仿宋" w:eastAsia="仿宋" w:cs="仿宋"/>
          <w:sz w:val="32"/>
          <w:szCs w:val="32"/>
          <w:lang w:val="zh-CN" w:eastAsia="zh-CN"/>
        </w:rPr>
        <w:t>%。项目绩效目标完成情况：</w:t>
      </w:r>
      <w:r>
        <w:rPr>
          <w:rFonts w:hint="eastAsia" w:ascii="仿宋" w:hAnsi="仿宋" w:eastAsia="仿宋" w:cs="仿宋"/>
          <w:sz w:val="32"/>
          <w:szCs w:val="32"/>
          <w:lang w:val="zh-CN" w:eastAsia="zh-CN"/>
        </w:rPr>
        <w:t>通过项目实施，完成了年初设定的各项绩效目标，完成了</w:t>
      </w:r>
      <w:r>
        <w:rPr>
          <w:rFonts w:hint="eastAsia" w:ascii="仿宋" w:hAnsi="仿宋" w:eastAsia="仿宋" w:cs="仿宋"/>
          <w:sz w:val="32"/>
          <w:szCs w:val="32"/>
          <w:lang w:val="en-US" w:eastAsia="zh-CN"/>
        </w:rPr>
        <w:t>1.每月完成一次维修维护任务，每个月完成了常规的检查和维修维护任务，完成情况达到标准。2.完成维修维护工作的完成质量达到合同规定标准，实际完成达到合同标准，完成情况达到标准。3.按时间进度完成维修维护程度，实际按照合同规定日期完成工作，完成情况达到标准。4.各项维修维护费经费成本控制在成本范围内，实际各项维修维护费成本基本控制在成本范围内，完成程度达到90%。5.正常办公条件得到保障，实际正常办公条件得到了保障，完成情况达到标准。6.机关工作人员满意率达到98%以上，实际上机关工作人员满意率达到98%以上。未发现问题。</w:t>
      </w:r>
    </w:p>
    <w:p w14:paraId="710060D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sz w:val="32"/>
          <w:szCs w:val="32"/>
          <w:highlight w:val="yellow"/>
        </w:rPr>
        <w:drawing>
          <wp:inline distT="0" distB="0" distL="114300" distR="114300">
            <wp:extent cx="5243195" cy="6990715"/>
            <wp:effectExtent l="0" t="0" r="14605" b="4445"/>
            <wp:docPr id="9" name="图片 9" descr="公务运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公务运转"/>
                    <pic:cNvPicPr>
                      <a:picLocks noChangeAspect="1"/>
                    </pic:cNvPicPr>
                  </pic:nvPicPr>
                  <pic:blipFill>
                    <a:blip r:embed="rId17"/>
                    <a:stretch>
                      <a:fillRect/>
                    </a:stretch>
                  </pic:blipFill>
                  <pic:spPr>
                    <a:xfrm>
                      <a:off x="0" y="0"/>
                      <a:ext cx="5243195" cy="6990715"/>
                    </a:xfrm>
                    <a:prstGeom prst="rect">
                      <a:avLst/>
                    </a:prstGeom>
                  </pic:spPr>
                </pic:pic>
              </a:graphicData>
            </a:graphic>
          </wp:inline>
        </w:drawing>
      </w:r>
    </w:p>
    <w:p w14:paraId="77D08BE5">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ind w:firstLine="640" w:firstLineChars="200"/>
        <w:textAlignment w:val="auto"/>
        <w:rPr>
          <w:rFonts w:hint="eastAsia" w:ascii="仿宋" w:hAnsi="仿宋" w:eastAsia="仿宋" w:cs="仿宋"/>
          <w:sz w:val="32"/>
          <w:szCs w:val="32"/>
          <w:lang w:val="en-US" w:eastAsia="zh-CN"/>
        </w:rPr>
      </w:pPr>
    </w:p>
    <w:p w14:paraId="0EC5BE3C">
      <w:pPr>
        <w:keepNext w:val="0"/>
        <w:keepLines w:val="0"/>
        <w:pageBreakBefore w:val="0"/>
        <w:widowControl w:val="0"/>
        <w:numPr>
          <w:ilvl w:val="0"/>
          <w:numId w:val="0"/>
        </w:numPr>
        <w:kinsoku/>
        <w:wordWrap/>
        <w:overflowPunct/>
        <w:topLinePunct w:val="0"/>
        <w:autoSpaceDE/>
        <w:autoSpaceDN/>
        <w:bidi w:val="0"/>
        <w:adjustRightInd/>
        <w:snapToGrid w:val="0"/>
        <w:spacing w:line="540"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（2）聘用制书记员人员经费项目</w:t>
      </w:r>
      <w:r>
        <w:rPr>
          <w:rFonts w:hint="default" w:ascii="Times New Roman" w:hAnsi="Times New Roman" w:eastAsia="仿宋_GB2312" w:cs="Times New Roman"/>
          <w:color w:val="auto"/>
          <w:kern w:val="2"/>
          <w:sz w:val="32"/>
          <w:szCs w:val="32"/>
          <w:lang w:val="zh-CN" w:eastAsia="zh-CN" w:bidi="ar-SA"/>
        </w:rPr>
        <w:t>绩效自评情况：根据年初设定的绩效目标，</w:t>
      </w:r>
      <w:r>
        <w:rPr>
          <w:rFonts w:hint="eastAsia" w:ascii="仿宋" w:hAnsi="仿宋" w:eastAsia="仿宋" w:cs="仿宋"/>
          <w:sz w:val="32"/>
          <w:szCs w:val="32"/>
          <w:lang w:val="en-US" w:eastAsia="zh-CN"/>
        </w:rPr>
        <w:t>运转类公用预算</w:t>
      </w:r>
      <w:r>
        <w:rPr>
          <w:rFonts w:hint="default" w:ascii="Times New Roman" w:hAnsi="Times New Roman" w:eastAsia="仿宋_GB2312" w:cs="Times New Roman"/>
          <w:color w:val="auto"/>
          <w:kern w:val="2"/>
          <w:sz w:val="32"/>
          <w:szCs w:val="32"/>
          <w:lang w:val="zh-CN" w:eastAsia="zh-CN" w:bidi="ar-SA"/>
        </w:rPr>
        <w:t>项目绩效自评</w:t>
      </w:r>
      <w:r>
        <w:rPr>
          <w:rFonts w:hint="default" w:ascii="仿宋" w:hAnsi="仿宋" w:eastAsia="仿宋" w:cs="仿宋"/>
          <w:sz w:val="32"/>
          <w:szCs w:val="32"/>
          <w:lang w:val="zh-CN" w:eastAsia="zh-CN"/>
        </w:rPr>
        <w:t>得分为</w:t>
      </w:r>
      <w:r>
        <w:rPr>
          <w:rFonts w:hint="eastAsia" w:ascii="仿宋" w:hAnsi="仿宋" w:eastAsia="仿宋" w:cs="仿宋"/>
          <w:sz w:val="32"/>
          <w:szCs w:val="32"/>
          <w:lang w:val="en-US" w:eastAsia="zh-CN"/>
        </w:rPr>
        <w:t>97.90</w:t>
      </w:r>
      <w:r>
        <w:rPr>
          <w:rFonts w:hint="default" w:ascii="仿宋" w:hAnsi="仿宋" w:eastAsia="仿宋" w:cs="仿宋"/>
          <w:sz w:val="32"/>
          <w:szCs w:val="32"/>
          <w:lang w:val="zh-CN" w:eastAsia="zh-CN"/>
        </w:rPr>
        <w:t>分（绩效自评表附后）</w:t>
      </w:r>
      <w:r>
        <w:rPr>
          <w:rFonts w:hint="eastAsia" w:ascii="仿宋" w:hAnsi="仿宋" w:eastAsia="仿宋" w:cs="仿宋"/>
          <w:sz w:val="32"/>
          <w:szCs w:val="32"/>
          <w:lang w:val="zh-CN" w:eastAsia="zh-CN"/>
        </w:rPr>
        <w:t>。</w:t>
      </w:r>
      <w:r>
        <w:rPr>
          <w:rFonts w:hint="eastAsia" w:ascii="仿宋" w:hAnsi="仿宋" w:eastAsia="仿宋" w:cs="仿宋"/>
          <w:sz w:val="32"/>
          <w:szCs w:val="32"/>
          <w:lang w:val="en-US" w:eastAsia="zh-CN"/>
        </w:rPr>
        <w:t>年初预算94.20万元，全年预算数94.2万元，全年执行93.27万元。</w:t>
      </w:r>
      <w:r>
        <w:rPr>
          <w:rFonts w:hint="default" w:ascii="仿宋" w:hAnsi="仿宋" w:eastAsia="仿宋" w:cs="仿宋"/>
          <w:sz w:val="32"/>
          <w:szCs w:val="32"/>
          <w:lang w:val="zh-CN" w:eastAsia="zh-CN"/>
        </w:rPr>
        <w:t>完成预算的</w:t>
      </w:r>
      <w:r>
        <w:rPr>
          <w:rFonts w:hint="eastAsia" w:ascii="仿宋" w:hAnsi="仿宋" w:eastAsia="仿宋" w:cs="仿宋"/>
          <w:sz w:val="32"/>
          <w:szCs w:val="32"/>
          <w:lang w:val="en-US" w:eastAsia="zh-CN"/>
        </w:rPr>
        <w:t>97.65</w:t>
      </w:r>
      <w:r>
        <w:rPr>
          <w:rFonts w:hint="default" w:ascii="仿宋" w:hAnsi="仿宋" w:eastAsia="仿宋" w:cs="仿宋"/>
          <w:sz w:val="32"/>
          <w:szCs w:val="32"/>
          <w:lang w:val="zh-CN" w:eastAsia="zh-CN"/>
        </w:rPr>
        <w:t>%</w:t>
      </w:r>
      <w:r>
        <w:rPr>
          <w:rFonts w:hint="eastAsia" w:ascii="仿宋" w:hAnsi="仿宋" w:eastAsia="仿宋" w:cs="仿宋"/>
          <w:sz w:val="32"/>
          <w:szCs w:val="32"/>
          <w:lang w:val="zh-CN" w:eastAsia="zh-CN"/>
        </w:rPr>
        <w:t>。</w:t>
      </w:r>
      <w:r>
        <w:rPr>
          <w:rFonts w:hint="default" w:ascii="仿宋" w:hAnsi="仿宋" w:eastAsia="仿宋" w:cs="仿宋"/>
          <w:sz w:val="32"/>
          <w:szCs w:val="32"/>
          <w:lang w:val="zh-CN" w:eastAsia="zh-CN"/>
        </w:rPr>
        <w:t>项目绩效目标完成情况：</w:t>
      </w:r>
      <w:r>
        <w:rPr>
          <w:rFonts w:hint="eastAsia" w:ascii="仿宋" w:hAnsi="仿宋" w:eastAsia="仿宋" w:cs="仿宋"/>
          <w:sz w:val="32"/>
          <w:szCs w:val="32"/>
          <w:lang w:val="zh-CN" w:eastAsia="zh-CN"/>
        </w:rPr>
        <w:t>通过项目实施，完成了年初设定的各项绩效目标，完成了</w:t>
      </w:r>
      <w:r>
        <w:rPr>
          <w:rFonts w:hint="eastAsia" w:ascii="仿宋" w:hAnsi="仿宋" w:eastAsia="仿宋" w:cs="仿宋"/>
          <w:sz w:val="32"/>
          <w:szCs w:val="32"/>
          <w:lang w:val="en-US" w:eastAsia="zh-CN"/>
        </w:rPr>
        <w:t>1、15名在编在岗的书记员出勤率达到98%，实际出勤率达到98%，完成100%。2、书记员工资发放准确率达到98%以上，实际每次书记员工资发放准确率均达到98%以上，完成100%。3、每月8日前足额拨付书记员工资，实际基本能够达到每月8日前将书记员工资发放到位，完成率达到90%。4、按照书记员每月工资标准发放工资，实际上按照没有工资标准进行发放，准确率达到100%。5、聘用制书记员尽职尽责率达到98%以上，实际机关工作人员尽职尽责率达到98%以上，未发现问题。</w:t>
      </w:r>
    </w:p>
    <w:p w14:paraId="5363C1DB">
      <w:pPr>
        <w:numPr>
          <w:ilvl w:val="0"/>
          <w:numId w:val="0"/>
        </w:numPr>
        <w:adjustRightInd w:val="0"/>
        <w:snapToGrid w:val="0"/>
        <w:spacing w:line="240" w:lineRule="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drawing>
          <wp:inline distT="0" distB="0" distL="114300" distR="114300">
            <wp:extent cx="5243195" cy="6990715"/>
            <wp:effectExtent l="0" t="0" r="14605" b="4445"/>
            <wp:docPr id="10" name="图片 10" descr="微信图片_2024092509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40925093750"/>
                    <pic:cNvPicPr>
                      <a:picLocks noChangeAspect="1"/>
                    </pic:cNvPicPr>
                  </pic:nvPicPr>
                  <pic:blipFill>
                    <a:blip r:embed="rId18"/>
                    <a:stretch>
                      <a:fillRect/>
                    </a:stretch>
                  </pic:blipFill>
                  <pic:spPr>
                    <a:xfrm>
                      <a:off x="0" y="0"/>
                      <a:ext cx="5243195" cy="6990715"/>
                    </a:xfrm>
                    <a:prstGeom prst="rect">
                      <a:avLst/>
                    </a:prstGeom>
                  </pic:spPr>
                </pic:pic>
              </a:graphicData>
            </a:graphic>
          </wp:inline>
        </w:drawing>
      </w:r>
    </w:p>
    <w:p w14:paraId="2F463FF6">
      <w:p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（三）部门评价项目绩效评价结果（如有）</w:t>
      </w:r>
    </w:p>
    <w:p w14:paraId="44E7568F">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14:paraId="34D21E5B">
      <w:pPr>
        <w:adjustRightInd w:val="0"/>
        <w:snapToGrid w:val="0"/>
        <w:spacing w:line="580" w:lineRule="exact"/>
        <w:ind w:firstLine="640" w:firstLineChars="200"/>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1. 本部门2023年度无收支及结转结余情况，故以空表列示。</w:t>
      </w:r>
    </w:p>
    <w:p w14:paraId="3A5D9A35">
      <w:pPr>
        <w:adjustRightInd w:val="0"/>
        <w:snapToGrid w:val="0"/>
        <w:spacing w:line="580" w:lineRule="exact"/>
        <w:ind w:firstLine="640" w:firstLineChars="200"/>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t>2. 由于决算公开表格中金额数值应当保留两位小数，公开数据为四舍五入计算结果，个别数据合计项与分项之和存在小数点后差额，特此说明。</w:t>
      </w:r>
    </w:p>
    <w:p w14:paraId="0128DD28">
      <w:pPr>
        <w:rPr>
          <w:rFonts w:hint="default" w:ascii="Times New Roman" w:hAnsi="Times New Roman" w:eastAsia="仿宋_GB2312" w:cs="Times New Roman"/>
          <w:b w:val="0"/>
          <w:bCs w:val="0"/>
          <w:sz w:val="32"/>
          <w:szCs w:val="32"/>
        </w:rPr>
      </w:pPr>
      <w:r>
        <w:rPr>
          <w:rFonts w:hint="default" w:ascii="Times New Roman" w:hAnsi="Times New Roman" w:eastAsia="仿宋_GB2312" w:cs="Times New Roman"/>
          <w:b w:val="0"/>
          <w:bCs w:val="0"/>
          <w:sz w:val="32"/>
          <w:szCs w:val="32"/>
        </w:rPr>
        <w:br w:type="page"/>
      </w:r>
    </w:p>
    <w:p w14:paraId="7FB85397">
      <w:pPr>
        <w:adjustRightInd w:val="0"/>
        <w:snapToGrid w:val="0"/>
        <w:spacing w:line="580" w:lineRule="exact"/>
        <w:ind w:firstLine="640" w:firstLineChars="200"/>
        <w:rPr>
          <w:rFonts w:hint="default" w:ascii="Times New Roman" w:hAnsi="Times New Roman" w:eastAsia="仿宋_GB2312" w:cs="Times New Roman"/>
          <w:sz w:val="32"/>
          <w:szCs w:val="32"/>
        </w:rPr>
      </w:pPr>
    </w:p>
    <w:p w14:paraId="102F8CB5">
      <w:pPr>
        <w:widowControl/>
        <w:spacing w:line="580" w:lineRule="exact"/>
        <w:ind w:firstLine="883" w:firstLineChars="200"/>
        <w:jc w:val="left"/>
        <w:rPr>
          <w:rFonts w:hint="default" w:ascii="Times New Roman" w:hAnsi="Times New Roman" w:eastAsia="宋体" w:cs="Times New Roman"/>
          <w:b/>
          <w:bCs/>
          <w:kern w:val="0"/>
          <w:sz w:val="44"/>
          <w:szCs w:val="44"/>
        </w:rPr>
      </w:pPr>
    </w:p>
    <w:p w14:paraId="10D9AEEE">
      <w:pPr>
        <w:rPr>
          <w:rFonts w:hint="default" w:ascii="Times New Roman" w:hAnsi="Times New Roman" w:eastAsia="仿宋_GB2312" w:cs="Times New Roman"/>
          <w:sz w:val="32"/>
          <w:szCs w:val="32"/>
        </w:rPr>
      </w:pPr>
    </w:p>
    <w:p w14:paraId="67B3B96D">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19207B45">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09EEFB12">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706A5998">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2B0FB3A9">
      <w:pPr>
        <w:rPr>
          <w:rFonts w:hint="default" w:ascii="Times New Roman" w:hAnsi="Times New Roman" w:eastAsia="仿宋_GB2312" w:cs="Times New Roman"/>
          <w:sz w:val="32"/>
          <w:szCs w:val="32"/>
        </w:rPr>
      </w:pPr>
    </w:p>
    <w:p w14:paraId="2419A040">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14:paraId="28089503">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14:paraId="317EB33C">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14:paraId="10327CA2">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14:paraId="0ADDB7F6">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14:paraId="77F9651C">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14:paraId="02219EE7">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14:paraId="06B0BD1B">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14:paraId="60DDCD3D">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14:paraId="0AF7FF92">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14:paraId="3DAE64C6">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14:paraId="0530EA6D">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14:paraId="6B807ED1">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06A72854">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007B2602">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2323106F">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40F80E48">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14:paraId="1D41D89B">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14:paraId="7F0A83AE">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7FA27AD1">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14:paraId="2473EA28">
      <w:pPr>
        <w:rPr>
          <w:rFonts w:hint="default" w:ascii="Times New Roman" w:hAnsi="Times New Roman" w:cs="Times New Roman"/>
        </w:rPr>
      </w:pPr>
    </w:p>
    <w:p w14:paraId="4423DC8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14:paraId="3CE500B8">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BC129FEE-7FDA-4379-9BD4-4E52150283AE}"/>
  </w:font>
  <w:font w:name="黑体">
    <w:panose1 w:val="02010609060101010101"/>
    <w:charset w:val="86"/>
    <w:family w:val="auto"/>
    <w:pitch w:val="default"/>
    <w:sig w:usb0="800002BF" w:usb1="38CF7CFA" w:usb2="00000016" w:usb3="00000000" w:csb0="00040001" w:csb1="00000000"/>
    <w:embedRegular r:id="rId2" w:fontKey="{926E69DF-9202-4189-A555-D4864828136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00169D21-6205-4D61-B28A-0C20CD71B05F}"/>
  </w:font>
  <w:font w:name="仿宋">
    <w:panose1 w:val="02010609060101010101"/>
    <w:charset w:val="86"/>
    <w:family w:val="modern"/>
    <w:pitch w:val="default"/>
    <w:sig w:usb0="800002BF" w:usb1="38CF7CFA" w:usb2="00000016" w:usb3="00000000" w:csb0="00040001" w:csb1="00000000"/>
    <w:embedRegular r:id="rId4" w:fontKey="{7BE98770-A319-45BE-B429-46760722AC6C}"/>
  </w:font>
  <w:font w:name="Calibri Light">
    <w:panose1 w:val="020F0302020204030204"/>
    <w:charset w:val="00"/>
    <w:family w:val="auto"/>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方正仿宋_GBK">
    <w:altName w:val="微软雅黑"/>
    <w:panose1 w:val="00000000000000000000"/>
    <w:charset w:val="00"/>
    <w:family w:val="auto"/>
    <w:pitch w:val="default"/>
    <w:sig w:usb0="00000000" w:usb1="00000000" w:usb2="00000000" w:usb3="00000000" w:csb0="00000000" w:csb1="00000000"/>
  </w:font>
  <w:font w:name="方正书宋_GBK">
    <w:altName w:val="微软雅黑"/>
    <w:panose1 w:val="00000000000000000000"/>
    <w:charset w:val="00"/>
    <w:family w:val="auto"/>
    <w:pitch w:val="default"/>
    <w:sig w:usb0="00000000" w:usb1="00000000" w:usb2="00000000" w:usb3="00000000" w:csb0="00000000" w:csb1="00000000"/>
  </w:font>
  <w:font w:name="方正魏碑简体">
    <w:altName w:val="微软雅黑"/>
    <w:panose1 w:val="00000000000000000000"/>
    <w:charset w:val="86"/>
    <w:family w:val="auto"/>
    <w:pitch w:val="default"/>
    <w:sig w:usb0="00000000" w:usb1="00000000" w:usb2="00000010" w:usb3="00000000" w:csb0="00040000" w:csb1="00000000"/>
    <w:embedRegular r:id="rId5" w:fontKey="{D9469BBA-DD05-43BA-BD4F-2996DFE7AAA8}"/>
  </w:font>
  <w:font w:name="思源黑体 CN Heavy">
    <w:altName w:val="黑体"/>
    <w:panose1 w:val="00000000000000000000"/>
    <w:charset w:val="86"/>
    <w:family w:val="swiss"/>
    <w:pitch w:val="default"/>
    <w:sig w:usb0="00000000" w:usb1="00000000" w:usb2="00000016" w:usb3="00000000" w:csb0="00060107" w:csb1="00000000"/>
    <w:embedRegular r:id="rId6" w:fontKey="{B35559E2-7E77-4AF3-A86C-6EF0FCBF826C}"/>
  </w:font>
  <w:font w:name="楷体_GB2312">
    <w:panose1 w:val="02010609030101010101"/>
    <w:charset w:val="86"/>
    <w:family w:val="auto"/>
    <w:pitch w:val="default"/>
    <w:sig w:usb0="00000001" w:usb1="080E0000" w:usb2="00000000" w:usb3="00000000" w:csb0="00040000" w:csb1="00000000"/>
    <w:embedRegular r:id="rId7" w:fontKey="{02FF4CDD-A17D-416E-A722-3F2D1022C5AE}"/>
  </w:font>
  <w:font w:name="仿宋_GB2312">
    <w:panose1 w:val="02010609030101010101"/>
    <w:charset w:val="86"/>
    <w:family w:val="auto"/>
    <w:pitch w:val="default"/>
    <w:sig w:usb0="00000001" w:usb1="080E0000" w:usb2="00000000" w:usb3="00000000" w:csb0="00040000" w:csb1="00000000"/>
    <w:embedRegular r:id="rId8" w:fontKey="{689B0478-2889-4C2D-9EAF-B623950C235C}"/>
  </w:font>
  <w:font w:name="ArialUnicodeMS">
    <w:altName w:val="Malgun Gothic"/>
    <w:panose1 w:val="00000000000000000000"/>
    <w:charset w:val="81"/>
    <w:family w:val="auto"/>
    <w:pitch w:val="default"/>
    <w:sig w:usb0="00000000" w:usb1="00000000" w:usb2="00000010" w:usb3="00000000" w:csb0="00080001" w:csb1="00000000"/>
    <w:embedRegular r:id="rId9" w:fontKey="{DC2F2263-9EDD-4514-84CE-E09763EF2C55}"/>
  </w:font>
  <w:font w:name="方正仿宋_GB2312">
    <w:panose1 w:val="02000000000000000000"/>
    <w:charset w:val="86"/>
    <w:family w:val="auto"/>
    <w:pitch w:val="default"/>
    <w:sig w:usb0="A00002BF" w:usb1="184F6CFA" w:usb2="00000012" w:usb3="00000000" w:csb0="00040001" w:csb1="00000000"/>
    <w:embedRegular r:id="rId10" w:fontKey="{8AB77F92-82DB-4A2A-BA03-8DD2B6C9592C}"/>
  </w:font>
  <w:font w:name="DengXian-Regular">
    <w:altName w:val="宋体"/>
    <w:panose1 w:val="00000000000000000000"/>
    <w:charset w:val="86"/>
    <w:family w:val="auto"/>
    <w:pitch w:val="default"/>
    <w:sig w:usb0="00000000" w:usb1="00000000" w:usb2="00000010" w:usb3="00000000" w:csb0="00040001" w:csb1="00000000"/>
    <w:embedRegular r:id="rId11" w:fontKey="{6E9480F3-9AF3-402D-8E47-B538DE19349F}"/>
  </w:font>
  <w:font w:name="微软雅黑">
    <w:panose1 w:val="020B0503020204020204"/>
    <w:charset w:val="86"/>
    <w:family w:val="auto"/>
    <w:pitch w:val="default"/>
    <w:sig w:usb0="80000287" w:usb1="280F3C52" w:usb2="00000016" w:usb3="00000000" w:csb0="0004001F" w:csb1="0000000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B46A3">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96157A"/>
    <w:multiLevelType w:val="singleLevel"/>
    <w:tmpl w:val="D896157A"/>
    <w:lvl w:ilvl="0" w:tentative="0">
      <w:start w:val="1"/>
      <w:numFmt w:val="decimal"/>
      <w:suff w:val="space"/>
      <w:lvlText w:val="%1."/>
      <w:lvlJc w:val="left"/>
    </w:lvl>
  </w:abstractNum>
  <w:abstractNum w:abstractNumId="1">
    <w:nsid w:val="F31EB42C"/>
    <w:multiLevelType w:val="singleLevel"/>
    <w:tmpl w:val="F31EB42C"/>
    <w:lvl w:ilvl="0" w:tentative="0">
      <w:start w:val="4"/>
      <w:numFmt w:val="chineseCounting"/>
      <w:suff w:val="nothing"/>
      <w:lvlText w:val="（%1）"/>
      <w:lvlJc w:val="left"/>
      <w:rPr>
        <w:rFonts w:hint="eastAsia"/>
        <w:b/>
        <w:bCs/>
      </w:rPr>
    </w:lvl>
  </w:abstractNum>
  <w:abstractNum w:abstractNumId="2">
    <w:nsid w:val="5A8BB24E"/>
    <w:multiLevelType w:val="singleLevel"/>
    <w:tmpl w:val="5A8BB24E"/>
    <w:lvl w:ilvl="0" w:tentative="0">
      <w:start w:val="1"/>
      <w:numFmt w:val="decimal"/>
      <w:lvlText w:val="%1."/>
      <w:lvlJc w:val="left"/>
      <w:pPr>
        <w:tabs>
          <w:tab w:val="left" w:pos="312"/>
        </w:tabs>
      </w:pPr>
    </w:lvl>
  </w:abstractNum>
  <w:abstractNum w:abstractNumId="3">
    <w:nsid w:val="5F16A424"/>
    <w:multiLevelType w:val="multilevel"/>
    <w:tmpl w:val="5F16A424"/>
    <w:lvl w:ilvl="0" w:tentative="0">
      <w:start w:val="1"/>
      <w:numFmt w:val="decimal"/>
      <w:pStyle w:val="3"/>
      <w:lvlText w:val="%1."/>
      <w:lvlJc w:val="left"/>
      <w:pPr>
        <w:ind w:left="425" w:hanging="425"/>
      </w:pPr>
      <w:rPr>
        <w:rFonts w:hint="default"/>
      </w:rPr>
    </w:lvl>
    <w:lvl w:ilvl="1" w:tentative="0">
      <w:start w:val="1"/>
      <w:numFmt w:val="decimal"/>
      <w:pStyle w:val="4"/>
      <w:lvlText w:val="%1.%2."/>
      <w:lvlJc w:val="left"/>
      <w:pPr>
        <w:ind w:left="567" w:hanging="567"/>
      </w:pPr>
      <w:rPr>
        <w:rFonts w:hint="default"/>
      </w:rPr>
    </w:lvl>
    <w:lvl w:ilvl="2" w:tentative="0">
      <w:start w:val="1"/>
      <w:numFmt w:val="decimal"/>
      <w:pStyle w:val="5"/>
      <w:lvlText w:val="%1.%2.%3."/>
      <w:lvlJc w:val="left"/>
      <w:pPr>
        <w:ind w:left="709" w:hanging="709"/>
      </w:pPr>
      <w:rPr>
        <w:rFonts w:hint="default"/>
      </w:rPr>
    </w:lvl>
    <w:lvl w:ilvl="3" w:tentative="0">
      <w:start w:val="1"/>
      <w:numFmt w:val="decimal"/>
      <w:pStyle w:val="6"/>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ODIsImhkaWQiOiI4OTAwOTQwY2RjZDg2ZThmM2NhMjczMWE0MjE0OTU1YyIsInVzZXJDb3VudCI6MTN9"/>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A308FD"/>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EA3248"/>
    <w:rsid w:val="28F879DA"/>
    <w:rsid w:val="294B7731"/>
    <w:rsid w:val="29514455"/>
    <w:rsid w:val="29D21FF2"/>
    <w:rsid w:val="29F45F31"/>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31059"/>
    <w:rsid w:val="3D446B0E"/>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45EA7"/>
    <w:rsid w:val="5A8842AA"/>
    <w:rsid w:val="5AEB1E3C"/>
    <w:rsid w:val="5B2507CA"/>
    <w:rsid w:val="5B2A474A"/>
    <w:rsid w:val="5B830730"/>
    <w:rsid w:val="5BBB2DD6"/>
    <w:rsid w:val="5BE263B6"/>
    <w:rsid w:val="5C8E5C5A"/>
    <w:rsid w:val="5C965E61"/>
    <w:rsid w:val="5CF0089C"/>
    <w:rsid w:val="5CF5796F"/>
    <w:rsid w:val="5D242A11"/>
    <w:rsid w:val="5D9217C2"/>
    <w:rsid w:val="5DAD06BF"/>
    <w:rsid w:val="5DE23CB3"/>
    <w:rsid w:val="5DE97EEC"/>
    <w:rsid w:val="5DFA5EB0"/>
    <w:rsid w:val="5E000E4D"/>
    <w:rsid w:val="5E0B583E"/>
    <w:rsid w:val="5E201A7B"/>
    <w:rsid w:val="5EA45884"/>
    <w:rsid w:val="5EBD0484"/>
    <w:rsid w:val="5F2C5C7C"/>
    <w:rsid w:val="5F36141C"/>
    <w:rsid w:val="5FC5273F"/>
    <w:rsid w:val="5FE60CAC"/>
    <w:rsid w:val="604F6C39"/>
    <w:rsid w:val="60806DF2"/>
    <w:rsid w:val="61072DA5"/>
    <w:rsid w:val="611C0817"/>
    <w:rsid w:val="61224A52"/>
    <w:rsid w:val="61520CCB"/>
    <w:rsid w:val="61851A29"/>
    <w:rsid w:val="61BF394A"/>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150C55"/>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3177841"/>
    <w:rsid w:val="733774FE"/>
    <w:rsid w:val="73617E1B"/>
    <w:rsid w:val="736D7653"/>
    <w:rsid w:val="738035CB"/>
    <w:rsid w:val="73852C46"/>
    <w:rsid w:val="7396335C"/>
    <w:rsid w:val="73F46595"/>
    <w:rsid w:val="74283FA2"/>
    <w:rsid w:val="742C135B"/>
    <w:rsid w:val="74463733"/>
    <w:rsid w:val="748A2F40"/>
    <w:rsid w:val="74EB2CDA"/>
    <w:rsid w:val="74F85778"/>
    <w:rsid w:val="75272439"/>
    <w:rsid w:val="758F1E9B"/>
    <w:rsid w:val="75CE266B"/>
    <w:rsid w:val="76120141"/>
    <w:rsid w:val="768216BE"/>
    <w:rsid w:val="76B63123"/>
    <w:rsid w:val="76C23B43"/>
    <w:rsid w:val="76FD6F97"/>
    <w:rsid w:val="770218E8"/>
    <w:rsid w:val="779469CE"/>
    <w:rsid w:val="77C875A5"/>
    <w:rsid w:val="78A27DF6"/>
    <w:rsid w:val="79285B3A"/>
    <w:rsid w:val="79625CA9"/>
    <w:rsid w:val="79A91196"/>
    <w:rsid w:val="7A0B32D3"/>
    <w:rsid w:val="7ABF708A"/>
    <w:rsid w:val="7AC13CD3"/>
    <w:rsid w:val="7AE10264"/>
    <w:rsid w:val="7AE4248E"/>
    <w:rsid w:val="7B407452"/>
    <w:rsid w:val="7B4A207F"/>
    <w:rsid w:val="7B936F45"/>
    <w:rsid w:val="7BA47419"/>
    <w:rsid w:val="7BB10D45"/>
    <w:rsid w:val="7BB44151"/>
    <w:rsid w:val="7C656A39"/>
    <w:rsid w:val="7CB93996"/>
    <w:rsid w:val="7CBE0F99"/>
    <w:rsid w:val="7D4E45F1"/>
    <w:rsid w:val="7DFB6D82"/>
    <w:rsid w:val="7E1D71D1"/>
    <w:rsid w:val="7E246254"/>
    <w:rsid w:val="7E3601DD"/>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3">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4">
    <w:name w:val="heading 2"/>
    <w:basedOn w:val="1"/>
    <w:next w:val="1"/>
    <w:link w:val="16"/>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5">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6">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99"/>
    <w:pPr>
      <w:ind w:firstLine="420" w:firstLineChars="200"/>
    </w:pPr>
  </w:style>
  <w:style w:type="paragraph" w:styleId="7">
    <w:name w:val="annotation text"/>
    <w:basedOn w:val="1"/>
    <w:semiHidden/>
    <w:unhideWhenUsed/>
    <w:qFormat/>
    <w:uiPriority w:val="99"/>
    <w:pPr>
      <w:jc w:val="left"/>
    </w:pPr>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4"/>
    <w:qFormat/>
    <w:uiPriority w:val="0"/>
    <w:rPr>
      <w:rFonts w:ascii="Calibri Light" w:hAnsi="Calibri Light" w:eastAsia="宋体" w:cs="Times New Roman"/>
      <w:b/>
      <w:bCs/>
      <w:sz w:val="28"/>
      <w:szCs w:val="32"/>
    </w:rPr>
  </w:style>
  <w:style w:type="character" w:customStyle="1" w:styleId="17">
    <w:name w:val="页脚 Char"/>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8"/>
    <w:semiHidden/>
    <w:qFormat/>
    <w:uiPriority w:val="99"/>
    <w:rPr>
      <w:rFonts w:asciiTheme="minorHAnsi" w:hAnsiTheme="minorHAnsi" w:eastAsiaTheme="minorEastAsia" w:cstheme="minorBidi"/>
      <w:sz w:val="18"/>
      <w:szCs w:val="18"/>
      <w:lang w:val="en-US" w:eastAsia="zh-CN" w:bidi="ar-SA"/>
    </w:rPr>
  </w:style>
  <w:style w:type="paragraph" w:customStyle="1" w:styleId="26">
    <w:name w:val="插入文本样式-插入预算公开部门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7">
    <w:name w:val="单元格样式2"/>
    <w:basedOn w:val="1"/>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28">
    <w:name w:val="单元格样式3"/>
    <w:basedOn w:val="1"/>
    <w:autoRedefine/>
    <w:qFormat/>
    <w:uiPriority w:val="0"/>
    <w:pPr>
      <w:spacing w:before="0" w:after="0"/>
      <w:ind w:firstLine="0"/>
      <w:jc w:val="center"/>
      <w:outlineLvl w:val="9"/>
    </w:pPr>
    <w:rPr>
      <w:rFonts w:ascii="方正书宋_GBK" w:hAnsi="方正书宋_GBK" w:eastAsia="方正书宋_GBK" w:cs="方正书宋_GBK"/>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5.sv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收支决算情况</a:t>
            </a:r>
          </a:p>
        </c:rich>
      </c:tx>
      <c:layout/>
      <c:overlay val="0"/>
      <c:spPr>
        <a:noFill/>
        <a:ln>
          <a:noFill/>
        </a:ln>
        <a:effectLst/>
      </c:spPr>
    </c:title>
    <c:autoTitleDeleted val="0"/>
    <c:plotArea>
      <c:layout>
        <c:manualLayout>
          <c:layoutTarget val="inner"/>
          <c:xMode val="edge"/>
          <c:yMode val="edge"/>
          <c:x val="0.0599325653273391"/>
          <c:y val="0.231527093596059"/>
          <c:w val="0.918994099466142"/>
          <c:h val="0.534592227695676"/>
        </c:manualLayout>
      </c:layout>
      <c:barChart>
        <c:barDir val="col"/>
        <c:grouping val="clustered"/>
        <c:varyColors val="0"/>
        <c:ser>
          <c:idx val="0"/>
          <c:order val="0"/>
          <c:tx>
            <c:strRef>
              <c:f>Sheet1!$B$1</c:f>
              <c:strCache>
                <c:ptCount val="1"/>
                <c:pt idx="0">
                  <c:v>2023年度</c:v>
                </c:pt>
              </c:strCache>
            </c:strRef>
          </c:tx>
          <c:spPr>
            <a:solidFill>
              <a:schemeClr val="accent1"/>
            </a:solidFill>
            <a:ln>
              <a:noFill/>
            </a:ln>
            <a:effectLst/>
          </c:spPr>
          <c:invertIfNegative val="0"/>
          <c:dLbls>
            <c:dLbl>
              <c:idx val="0"/>
              <c:layout>
                <c:manualLayout>
                  <c:x val="-0.00168586681652149"/>
                  <c:y val="0.013136288998358"/>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1268.27</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1268.27</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收入</c:v>
                </c:pt>
                <c:pt idx="1">
                  <c:v>支出</c:v>
                </c:pt>
              </c:strCache>
            </c:strRef>
          </c:cat>
          <c:val>
            <c:numRef>
              <c:f>Sheet1!$B$2:$B$3</c:f>
              <c:numCache>
                <c:formatCode>General</c:formatCode>
                <c:ptCount val="2"/>
                <c:pt idx="0">
                  <c:v>1268.27</c:v>
                </c:pt>
                <c:pt idx="1">
                  <c:v>1268.27</c:v>
                </c:pt>
              </c:numCache>
            </c:numRef>
          </c:val>
        </c:ser>
        <c:ser>
          <c:idx val="1"/>
          <c:order val="1"/>
          <c:tx>
            <c:strRef>
              <c:f>Sheet1!$C$1</c:f>
              <c:strCache>
                <c:ptCount val="1"/>
                <c:pt idx="0">
                  <c:v>2022年度</c:v>
                </c:pt>
              </c:strCache>
            </c:strRef>
          </c:tx>
          <c:spPr>
            <a:solidFill>
              <a:schemeClr val="accent2"/>
            </a:solidFill>
            <a:ln>
              <a:noFill/>
            </a:ln>
            <a:effectLst/>
          </c:spPr>
          <c:invertIfNegative val="0"/>
          <c:dLbls>
            <c:dLbl>
              <c:idx val="0"/>
              <c:layout>
                <c:manualLayout>
                  <c:x val="0"/>
                  <c:y val="-0.00328407224958949"/>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1324.54</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337173363304299"/>
                  <c:y val="-0.0164203612479475"/>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1324.54</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收入</c:v>
                </c:pt>
                <c:pt idx="1">
                  <c:v>支出</c:v>
                </c:pt>
              </c:strCache>
            </c:strRef>
          </c:cat>
          <c:val>
            <c:numRef>
              <c:f>Sheet1!$C$2:$C$3</c:f>
              <c:numCache>
                <c:formatCode>General</c:formatCode>
                <c:ptCount val="2"/>
                <c:pt idx="0">
                  <c:v>1324.54</c:v>
                </c:pt>
                <c:pt idx="1">
                  <c:v>1324.54</c:v>
                </c:pt>
              </c:numCache>
            </c:numRef>
          </c:val>
        </c:ser>
        <c:dLbls>
          <c:showLegendKey val="0"/>
          <c:showVal val="0"/>
          <c:showCatName val="0"/>
          <c:showSerName val="0"/>
          <c:showPercent val="0"/>
          <c:showBubbleSize val="0"/>
        </c:dLbls>
        <c:gapWidth val="219"/>
        <c:overlap val="-27"/>
        <c:axId val="910181504"/>
        <c:axId val="851621984"/>
      </c:barChart>
      <c:catAx>
        <c:axId val="91018150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1621984"/>
        <c:crosses val="autoZero"/>
        <c:auto val="1"/>
        <c:lblAlgn val="ctr"/>
        <c:lblOffset val="100"/>
        <c:noMultiLvlLbl val="0"/>
      </c:catAx>
      <c:valAx>
        <c:axId val="851621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018150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dk1">
                    <a:lumMod val="75000"/>
                    <a:lumOff val="25000"/>
                  </a:schemeClr>
                </a:solidFill>
                <a:latin typeface="+mn-lt"/>
                <a:ea typeface="+mn-ea"/>
                <a:cs typeface="+mn-cs"/>
              </a:defRPr>
            </a:pPr>
            <a:r>
              <a:t>决算支出占比情况</a:t>
            </a:r>
          </a:p>
        </c:rich>
      </c:tx>
      <c:layout>
        <c:manualLayout>
          <c:xMode val="edge"/>
          <c:yMode val="edge"/>
          <c:x val="0.273561997268174"/>
          <c:y val="0.0312228967909801"/>
        </c:manualLayout>
      </c:layout>
      <c:overlay val="0"/>
      <c:spPr>
        <a:noFill/>
        <a:ln>
          <a:noFill/>
        </a:ln>
        <a:effectLst/>
      </c:spPr>
    </c:title>
    <c:autoTitleDeleted val="0"/>
    <c:plotArea>
      <c:layout/>
      <c:pieChart>
        <c:varyColors val="1"/>
        <c:ser>
          <c:idx val="0"/>
          <c:order val="0"/>
          <c:tx>
            <c:strRef>
              <c:f>Sheet1!$B$1</c:f>
              <c:strCache>
                <c:ptCount val="1"/>
                <c:pt idx="0">
                  <c:v>支出金额</c:v>
                </c:pt>
              </c:strCache>
            </c:strRef>
          </c:tx>
          <c:spPr/>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dLbl>
              <c:idx val="1"/>
              <c:layout>
                <c:manualLayout>
                  <c:x val="0.0561395478335012"/>
                  <c:y val="0.13059471921793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173015190642619"/>
                  <c:y val="0.165748771319806"/>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118378675238157"/>
                  <c:y val="0.0660089621263975"/>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基本支出</c:v>
                </c:pt>
                <c:pt idx="1">
                  <c:v>项目支出</c:v>
                </c:pt>
                <c:pt idx="2">
                  <c:v>经营支出</c:v>
                </c:pt>
                <c:pt idx="3">
                  <c:v>对附属单位补助支出</c:v>
                </c:pt>
              </c:strCache>
            </c:strRef>
          </c:cat>
          <c:val>
            <c:numRef>
              <c:f>Sheet1!$B$2:$B$5</c:f>
              <c:numCache>
                <c:formatCode>General</c:formatCode>
                <c:ptCount val="4"/>
                <c:pt idx="0">
                  <c:v>1027.58</c:v>
                </c:pt>
                <c:pt idx="1">
                  <c:v>240.69</c:v>
                </c:pt>
                <c:pt idx="2">
                  <c:v>0</c:v>
                </c:pt>
                <c:pt idx="3">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一般公共预算拨款决算预算比对情况表</a:t>
            </a:r>
          </a:p>
        </c:rich>
      </c:tx>
      <c:layout/>
      <c:overlay val="0"/>
      <c:spPr>
        <a:noFill/>
        <a:ln>
          <a:noFill/>
        </a:ln>
        <a:effectLst/>
      </c:spPr>
    </c:title>
    <c:autoTitleDeleted val="0"/>
    <c:plotArea>
      <c:layout>
        <c:manualLayout>
          <c:layoutTarget val="inner"/>
          <c:xMode val="edge"/>
          <c:yMode val="edge"/>
          <c:x val="0.101080535945829"/>
          <c:y val="0.220101401729794"/>
          <c:w val="0.877596888056476"/>
          <c:h val="0.494005368326871"/>
        </c:manualLayout>
      </c:layout>
      <c:barChart>
        <c:barDir val="col"/>
        <c:grouping val="clustered"/>
        <c:varyColors val="0"/>
        <c:ser>
          <c:idx val="0"/>
          <c:order val="0"/>
          <c:tx>
            <c:strRef>
              <c:f>Sheet1!$B$1</c:f>
              <c:strCache>
                <c:ptCount val="1"/>
                <c:pt idx="0">
                  <c:v>决算数</c:v>
                </c:pt>
              </c:strCache>
            </c:strRef>
          </c:tx>
          <c:spPr>
            <a:solidFill>
              <a:schemeClr val="accent1"/>
            </a:solidFill>
            <a:ln>
              <a:noFill/>
            </a:ln>
            <a:effectLst/>
          </c:spPr>
          <c:invertIfNegative val="0"/>
          <c:dLbls>
            <c:dLbl>
              <c:idx val="0"/>
              <c:layout/>
              <c:dLblPos val="outEnd"/>
              <c:showLegendKey val="0"/>
              <c:showVal val="1"/>
              <c:showCatName val="0"/>
              <c:showSerName val="0"/>
              <c:showPercent val="0"/>
              <c:showBubbleSize val="0"/>
              <c:extLst>
                <c:ext xmlns:c15="http://schemas.microsoft.com/office/drawing/2012/chart" uri="{CE6537A1-D6FC-4f65-9D91-7224C49458BB}"/>
              </c:extLst>
            </c:dLbl>
            <c:dLbl>
              <c:idx val="1"/>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收入</c:v>
                </c:pt>
                <c:pt idx="1">
                  <c:v>支出</c:v>
                </c:pt>
              </c:strCache>
            </c:strRef>
          </c:cat>
          <c:val>
            <c:numRef>
              <c:f>Sheet1!$B$2:$B$3</c:f>
              <c:numCache>
                <c:formatCode>General</c:formatCode>
                <c:ptCount val="2"/>
                <c:pt idx="0">
                  <c:v>1268.27</c:v>
                </c:pt>
                <c:pt idx="1">
                  <c:v>1268.27</c:v>
                </c:pt>
              </c:numCache>
            </c:numRef>
          </c:val>
        </c:ser>
        <c:ser>
          <c:idx val="1"/>
          <c:order val="1"/>
          <c:tx>
            <c:strRef>
              <c:f>Sheet1!$C$1</c:f>
              <c:strCache>
                <c:ptCount val="1"/>
                <c:pt idx="0">
                  <c:v>年初预算数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收入</c:v>
                </c:pt>
                <c:pt idx="1">
                  <c:v>支出</c:v>
                </c:pt>
              </c:strCache>
            </c:strRef>
          </c:cat>
          <c:val>
            <c:numRef>
              <c:f>Sheet1!$C$2:$C$3</c:f>
              <c:numCache>
                <c:formatCode>General</c:formatCode>
                <c:ptCount val="2"/>
                <c:pt idx="0">
                  <c:v>1191.93</c:v>
                </c:pt>
                <c:pt idx="1">
                  <c:v>1191.93</c:v>
                </c:pt>
              </c:numCache>
            </c:numRef>
          </c:val>
        </c:ser>
        <c:ser>
          <c:idx val="2"/>
          <c:order val="2"/>
          <c:tx>
            <c:strRef>
              <c:f>Sheet1!$D$1</c:f>
              <c:strCache>
                <c:ptCount val="1"/>
                <c:pt idx="0">
                  <c:v/>
                </c:pt>
              </c:strCache>
            </c:strRef>
          </c:tx>
          <c:spPr>
            <a:solidFill>
              <a:schemeClr val="accent3"/>
            </a:solidFill>
            <a:ln>
              <a:noFill/>
            </a:ln>
            <a:effectLst/>
          </c:spPr>
          <c:invertIfNegative val="0"/>
          <c:dLbls>
            <c:delete val="1"/>
          </c:dLbls>
          <c:cat>
            <c:strRef>
              <c:f>Sheet1!$A$2:$A$3</c:f>
              <c:strCache>
                <c:ptCount val="2"/>
                <c:pt idx="0">
                  <c:v>收入</c:v>
                </c:pt>
                <c:pt idx="1">
                  <c:v>支出</c:v>
                </c:pt>
              </c:strCache>
            </c:strRef>
          </c:cat>
          <c:val>
            <c:numRef>
              <c:f>Sheet1!$D$2:$D$3</c:f>
              <c:numCache>
                <c:formatCode>General</c:formatCode>
                <c:ptCount val="2"/>
              </c:numCache>
            </c:numRef>
          </c:val>
        </c:ser>
        <c:dLbls>
          <c:showLegendKey val="0"/>
          <c:showVal val="0"/>
          <c:showCatName val="0"/>
          <c:showSerName val="0"/>
          <c:showPercent val="0"/>
          <c:showBubbleSize val="0"/>
        </c:dLbls>
        <c:gapWidth val="219"/>
        <c:overlap val="-27"/>
        <c:axId val="541831193"/>
        <c:axId val="518289017"/>
      </c:barChart>
      <c:catAx>
        <c:axId val="54183119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8289017"/>
        <c:crosses val="autoZero"/>
        <c:auto val="1"/>
        <c:lblAlgn val="ctr"/>
        <c:lblOffset val="100"/>
        <c:noMultiLvlLbl val="0"/>
      </c:catAx>
      <c:valAx>
        <c:axId val="51828901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1831193"/>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37</Pages>
  <Words>10368</Words>
  <Characters>12580</Characters>
  <Lines>86</Lines>
  <Paragraphs>24</Paragraphs>
  <TotalTime>25</TotalTime>
  <ScaleCrop>false</ScaleCrop>
  <LinksUpToDate>false</LinksUpToDate>
  <CharactersWithSpaces>13177</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小沐妈妈</cp:lastModifiedBy>
  <cp:lastPrinted>2024-09-26T01:04:00Z</cp:lastPrinted>
  <dcterms:modified xsi:type="dcterms:W3CDTF">2024-09-26T02:02:31Z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E3943BC5722641F6AF2F009BA59D61BF_13</vt:lpwstr>
  </property>
  <property fmtid="{D5CDD505-2E9C-101B-9397-08002B2CF9AE}" pid="4" name="KSOTemplateUUID">
    <vt:lpwstr>v1.0_mb_S7ajbG3IpAnL1wSthNCxfw==</vt:lpwstr>
  </property>
</Properties>
</file>